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805"/>
      </w:tblGrid>
      <w:tr w:rsidR="00DA6269" w:rsidRPr="00271E9C" w14:paraId="6F068381" w14:textId="77777777" w:rsidTr="003C1024">
        <w:tc>
          <w:tcPr>
            <w:tcW w:w="3539" w:type="dxa"/>
          </w:tcPr>
          <w:p w14:paraId="01F362EF" w14:textId="77777777" w:rsidR="00DA6269" w:rsidRPr="00271E9C" w:rsidRDefault="00DA6269" w:rsidP="00DA6269">
            <w:pPr>
              <w:jc w:val="center"/>
              <w:rPr>
                <w:sz w:val="26"/>
                <w:szCs w:val="26"/>
              </w:rPr>
            </w:pPr>
            <w:r w:rsidRPr="00271E9C">
              <w:rPr>
                <w:sz w:val="26"/>
                <w:szCs w:val="26"/>
              </w:rPr>
              <w:t>UBND TỈNH LẠNG SƠN</w:t>
            </w:r>
          </w:p>
          <w:p w14:paraId="46E106D7" w14:textId="3AB30CA2" w:rsidR="00DA6269" w:rsidRPr="00271E9C" w:rsidRDefault="00271E9C" w:rsidP="00271E9C">
            <w:pPr>
              <w:spacing w:after="240"/>
              <w:jc w:val="center"/>
              <w:rPr>
                <w:b/>
                <w:bCs/>
              </w:rPr>
            </w:pPr>
            <w:r>
              <w:rPr>
                <w:b/>
                <w:bCs/>
                <w:sz w:val="26"/>
                <w:szCs w:val="26"/>
              </w:rPr>
              <mc:AlternateContent>
                <mc:Choice Requires="wps">
                  <w:drawing>
                    <wp:anchor distT="0" distB="0" distL="114300" distR="114300" simplePos="0" relativeHeight="251660288" behindDoc="0" locked="0" layoutInCell="1" allowOverlap="1" wp14:anchorId="01F8871C" wp14:editId="13FB5506">
                      <wp:simplePos x="0" y="0"/>
                      <wp:positionH relativeFrom="column">
                        <wp:posOffset>872853</wp:posOffset>
                      </wp:positionH>
                      <wp:positionV relativeFrom="paragraph">
                        <wp:posOffset>241539</wp:posOffset>
                      </wp:positionV>
                      <wp:extent cx="374073" cy="0"/>
                      <wp:effectExtent l="0" t="0" r="0" b="0"/>
                      <wp:wrapNone/>
                      <wp:docPr id="1950801874" name="Straight Connector 3"/>
                      <wp:cNvGraphicFramePr/>
                      <a:graphic xmlns:a="http://schemas.openxmlformats.org/drawingml/2006/main">
                        <a:graphicData uri="http://schemas.microsoft.com/office/word/2010/wordprocessingShape">
                          <wps:wsp>
                            <wps:cNvCnPr/>
                            <wps:spPr>
                              <a:xfrm>
                                <a:off x="0" y="0"/>
                                <a:ext cx="374073"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232C6A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75pt,19pt" to="98.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" strokecolor="black [3200]" strokeweight=".5pt">
                      <v:stroke joinstyle="miter"/>
                    </v:line>
                  </w:pict>
                </mc:Fallback>
              </mc:AlternateContent>
            </w:r>
            <w:r w:rsidR="00DA6269" w:rsidRPr="00271E9C">
              <w:rPr>
                <w:b/>
                <w:bCs/>
                <w:sz w:val="26"/>
                <w:szCs w:val="26"/>
              </w:rPr>
              <w:t>SỞ Y TẾ</w:t>
            </w:r>
          </w:p>
        </w:tc>
        <w:tc>
          <w:tcPr>
            <w:tcW w:w="5805" w:type="dxa"/>
          </w:tcPr>
          <w:p w14:paraId="6F975C00" w14:textId="77777777" w:rsidR="00DA6269" w:rsidRPr="00271E9C" w:rsidRDefault="00DA6269" w:rsidP="00DA6269">
            <w:pPr>
              <w:jc w:val="center"/>
              <w:rPr>
                <w:b/>
                <w:bCs/>
                <w:sz w:val="26"/>
                <w:szCs w:val="26"/>
              </w:rPr>
            </w:pPr>
            <w:r w:rsidRPr="00271E9C">
              <w:rPr>
                <w:b/>
                <w:bCs/>
                <w:sz w:val="26"/>
                <w:szCs w:val="26"/>
              </w:rPr>
              <w:t>CỘNG HÒA XÃ HỘI CHỦ NGHĨA VIỆT NAM</w:t>
            </w:r>
          </w:p>
          <w:p w14:paraId="41D04C28" w14:textId="10353EEA" w:rsidR="00DA6269" w:rsidRPr="00271E9C" w:rsidRDefault="00271E9C" w:rsidP="00DA6269">
            <w:pPr>
              <w:jc w:val="center"/>
            </w:pPr>
            <w:r>
              <w:rPr>
                <w:b/>
                <w:bCs/>
              </w:rPr>
              <mc:AlternateContent>
                <mc:Choice Requires="wps">
                  <w:drawing>
                    <wp:anchor distT="0" distB="0" distL="114300" distR="114300" simplePos="0" relativeHeight="251659264" behindDoc="0" locked="0" layoutInCell="1" allowOverlap="1" wp14:anchorId="65BB4F47" wp14:editId="2DF16184">
                      <wp:simplePos x="0" y="0"/>
                      <wp:positionH relativeFrom="column">
                        <wp:posOffset>644392</wp:posOffset>
                      </wp:positionH>
                      <wp:positionV relativeFrom="paragraph">
                        <wp:posOffset>247477</wp:posOffset>
                      </wp:positionV>
                      <wp:extent cx="2297875" cy="0"/>
                      <wp:effectExtent l="0" t="0" r="0" b="0"/>
                      <wp:wrapNone/>
                      <wp:docPr id="1846467170" name="Straight Connector 2"/>
                      <wp:cNvGraphicFramePr/>
                      <a:graphic xmlns:a="http://schemas.openxmlformats.org/drawingml/2006/main">
                        <a:graphicData uri="http://schemas.microsoft.com/office/word/2010/wordprocessingShape">
                          <wps:wsp>
                            <wps:cNvCnPr/>
                            <wps:spPr>
                              <a:xfrm>
                                <a:off x="0" y="0"/>
                                <a:ext cx="2297875"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AB43ED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75pt,19.5pt" to="231.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" strokecolor="black [3200]" strokeweight=".5pt">
                      <v:stroke joinstyle="miter"/>
                    </v:line>
                  </w:pict>
                </mc:Fallback>
              </mc:AlternateContent>
            </w:r>
            <w:r w:rsidR="00DA6269" w:rsidRPr="00271E9C">
              <w:rPr>
                <w:b/>
                <w:bCs/>
              </w:rPr>
              <w:t>Độc lập – Tự do – Hạnh phúc</w:t>
            </w:r>
          </w:p>
        </w:tc>
      </w:tr>
      <w:tr w:rsidR="00DA6269" w:rsidRPr="00271E9C" w14:paraId="04BC026B" w14:textId="77777777" w:rsidTr="003C1024">
        <w:tc>
          <w:tcPr>
            <w:tcW w:w="3539" w:type="dxa"/>
          </w:tcPr>
          <w:p w14:paraId="67EFD80F" w14:textId="77777777" w:rsidR="00DA6269" w:rsidRPr="00271E9C" w:rsidRDefault="00DA6269"/>
        </w:tc>
        <w:tc>
          <w:tcPr>
            <w:tcW w:w="5805" w:type="dxa"/>
          </w:tcPr>
          <w:p w14:paraId="77409C60" w14:textId="2E1901B0" w:rsidR="00DA6269" w:rsidRPr="003C1024" w:rsidRDefault="00743672" w:rsidP="00743672">
            <w:pPr>
              <w:jc w:val="center"/>
              <w:rPr>
                <w:i/>
              </w:rPr>
            </w:pPr>
            <w:r w:rsidRPr="003C1024">
              <w:rPr>
                <w:i/>
              </w:rPr>
              <w:t>Lạng Sơn, ngày</w:t>
            </w:r>
            <w:r w:rsidR="003C1024">
              <w:rPr>
                <w:i/>
              </w:rPr>
              <w:t xml:space="preserve">     </w:t>
            </w:r>
            <w:r w:rsidRPr="003C1024">
              <w:rPr>
                <w:i/>
              </w:rPr>
              <w:t xml:space="preserve"> tháng 3 năm 2026</w:t>
            </w:r>
          </w:p>
        </w:tc>
      </w:tr>
    </w:tbl>
    <w:p w14:paraId="753913F2" w14:textId="77777777" w:rsidR="00743672" w:rsidRDefault="00743672" w:rsidP="00743672">
      <w:pPr>
        <w:jc w:val="center"/>
        <w:rPr>
          <w:b/>
          <w:bCs/>
          <w:lang w:val="en"/>
        </w:rPr>
      </w:pPr>
    </w:p>
    <w:p w14:paraId="485C7B3D" w14:textId="77777777" w:rsidR="003853F6" w:rsidRDefault="00743672" w:rsidP="003853F6">
      <w:pPr>
        <w:spacing w:before="0"/>
        <w:jc w:val="center"/>
        <w:rPr>
          <w:b/>
          <w:bCs/>
        </w:rPr>
      </w:pPr>
      <w:r w:rsidRPr="00743672">
        <w:rPr>
          <w:b/>
          <w:bCs/>
          <w:lang w:val="en"/>
        </w:rPr>
        <w:t>B</w:t>
      </w:r>
      <w:r w:rsidRPr="00743672">
        <w:rPr>
          <w:b/>
          <w:bCs/>
        </w:rPr>
        <w:t xml:space="preserve">ẢN ĐÁNH GIÁ THỦ TỤC HÀNH CHÍNH, VIỆC PHÂN QUYỀN, </w:t>
      </w:r>
    </w:p>
    <w:p w14:paraId="12C7C390" w14:textId="77777777" w:rsidR="003853F6" w:rsidRDefault="00743672" w:rsidP="003853F6">
      <w:pPr>
        <w:spacing w:before="0"/>
        <w:jc w:val="center"/>
        <w:rPr>
          <w:b/>
          <w:bCs/>
        </w:rPr>
      </w:pPr>
      <w:r w:rsidRPr="00743672">
        <w:rPr>
          <w:b/>
          <w:bCs/>
        </w:rPr>
        <w:t xml:space="preserve">PHÂN CẤP, VIỆC ỨNG DỤNG, THÚC ĐẨY PHÁT TRIỂN KHOA HỌC, CÔNG NGHỆ, ĐỔI MỚI SÁNG TẠO VÀ CHUYỂN ĐỔI SỐ, BẢO ĐẢM BÌNH ĐẲNG GIỚI, VIỆC THỰC HIỆN CHÍNH SÁCH DÂN TỘC </w:t>
      </w:r>
    </w:p>
    <w:p w14:paraId="757F5B92" w14:textId="211EC539" w:rsidR="003853F6" w:rsidRDefault="00743672" w:rsidP="003853F6">
      <w:pPr>
        <w:spacing w:before="0"/>
        <w:jc w:val="center"/>
        <w:rPr>
          <w:b/>
          <w:bCs/>
        </w:rPr>
      </w:pPr>
      <w:r w:rsidRPr="00743672">
        <w:rPr>
          <w:b/>
          <w:bCs/>
        </w:rPr>
        <w:t>TRONG DỰ THẢO</w:t>
      </w:r>
      <w:r w:rsidR="00EF766E">
        <w:rPr>
          <w:b/>
          <w:bCs/>
        </w:rPr>
        <w:t xml:space="preserve"> QUYẾT ĐỊNH CỦA CHỦ TỊCH UBND TỈNH </w:t>
      </w:r>
      <w:r w:rsidR="003853F6">
        <w:rPr>
          <w:b/>
          <w:bCs/>
        </w:rPr>
        <w:t xml:space="preserve">VỀ VIỆC </w:t>
      </w:r>
      <w:r w:rsidR="00EF766E" w:rsidRPr="00EF766E">
        <w:rPr>
          <w:b/>
          <w:bCs/>
        </w:rPr>
        <w:t>PHÂN CẤP CHO SỞ Y TẾ THỰC HIỆN NHIỆM VỤ</w:t>
      </w:r>
      <w:r w:rsidR="00EF766E">
        <w:rPr>
          <w:b/>
          <w:bCs/>
        </w:rPr>
        <w:t xml:space="preserve"> </w:t>
      </w:r>
      <w:r w:rsidR="00EF766E" w:rsidRPr="00EF766E">
        <w:rPr>
          <w:b/>
          <w:bCs/>
        </w:rPr>
        <w:t xml:space="preserve">TỔ CHỨC </w:t>
      </w:r>
    </w:p>
    <w:p w14:paraId="122C550E" w14:textId="77777777" w:rsidR="00944881" w:rsidRDefault="00EF766E" w:rsidP="003853F6">
      <w:pPr>
        <w:spacing w:before="0"/>
        <w:jc w:val="center"/>
        <w:rPr>
          <w:b/>
          <w:bCs/>
        </w:rPr>
      </w:pPr>
      <w:r w:rsidRPr="00EF766E">
        <w:rPr>
          <w:b/>
          <w:bCs/>
        </w:rPr>
        <w:t xml:space="preserve">TIẾP NHẬN KÊ KHAI GIÁ THUỐC THUỘC THẨM QUYỀN </w:t>
      </w:r>
    </w:p>
    <w:p w14:paraId="6D6B73A7" w14:textId="1CAC1EF5" w:rsidR="00317966" w:rsidRDefault="00EF766E" w:rsidP="003853F6">
      <w:pPr>
        <w:spacing w:before="0"/>
        <w:jc w:val="center"/>
        <w:rPr>
          <w:b/>
          <w:bCs/>
        </w:rPr>
      </w:pPr>
      <w:r w:rsidRPr="00EF766E">
        <w:rPr>
          <w:b/>
          <w:bCs/>
        </w:rPr>
        <w:t>CỦA CHỦ TỊCH ỦY BAN NHÂN DÂN TỈNH</w:t>
      </w:r>
    </w:p>
    <w:p w14:paraId="2EEF5E26" w14:textId="77777777" w:rsidR="00605B4C" w:rsidRDefault="00605B4C" w:rsidP="00743672">
      <w:pPr>
        <w:jc w:val="center"/>
        <w:rPr>
          <w:b/>
          <w:bCs/>
        </w:rPr>
      </w:pPr>
    </w:p>
    <w:p w14:paraId="076CE1CE" w14:textId="3480F03A" w:rsidR="00605B4C" w:rsidRPr="007849F7" w:rsidRDefault="00605B4C" w:rsidP="007849F7">
      <w:pPr>
        <w:ind w:firstLine="720"/>
        <w:rPr>
          <w:szCs w:val="28"/>
          <w:lang w:val="vi-VN"/>
        </w:rPr>
      </w:pPr>
      <w:r w:rsidRPr="007849F7">
        <w:rPr>
          <w:szCs w:val="28"/>
          <w:lang w:val="en"/>
        </w:rPr>
        <w:t>Th</w:t>
      </w:r>
      <w:r w:rsidRPr="007849F7">
        <w:rPr>
          <w:szCs w:val="28"/>
          <w:lang w:val="vi-VN"/>
        </w:rPr>
        <w:t>ực hiện quy định của Luật Ban hành văn bản quy phạm pháp luật,</w:t>
      </w:r>
      <w:r w:rsidR="003C1024" w:rsidRPr="007849F7">
        <w:rPr>
          <w:szCs w:val="28"/>
        </w:rPr>
        <w:t xml:space="preserve"> Sở Y tế</w:t>
      </w:r>
      <w:r w:rsidRPr="007849F7">
        <w:rPr>
          <w:szCs w:val="28"/>
          <w:lang w:val="vi-VN"/>
        </w:rPr>
        <w:t xml:space="preserve"> 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thảo</w:t>
      </w:r>
      <w:r w:rsidR="00541393" w:rsidRPr="007849F7">
        <w:rPr>
          <w:szCs w:val="28"/>
        </w:rPr>
        <w:t xml:space="preserve"> Quyết định của Chủ tịch UBND tỉnh </w:t>
      </w:r>
      <w:r w:rsidR="00944881" w:rsidRPr="007849F7">
        <w:rPr>
          <w:szCs w:val="28"/>
        </w:rPr>
        <w:t>về việc phân cấp cho Sở Y tế thực hiện nhiệm vụ tổ chức tiếp nhận kê khai giá thuốc thuộc thẩm quyền của Chủ tịch UBND tỉnh</w:t>
      </w:r>
      <w:r w:rsidRPr="007849F7">
        <w:rPr>
          <w:szCs w:val="28"/>
          <w:lang w:val="vi-VN"/>
        </w:rPr>
        <w:t>. Kết quả như sau:</w:t>
      </w:r>
    </w:p>
    <w:p w14:paraId="771F4D5C" w14:textId="77777777" w:rsidR="00605B4C" w:rsidRPr="007849F7" w:rsidRDefault="00605B4C" w:rsidP="007849F7">
      <w:pPr>
        <w:pStyle w:val="Heading1"/>
        <w:spacing w:before="120" w:after="0"/>
        <w:ind w:firstLine="720"/>
        <w:rPr>
          <w:color w:val="000000" w:themeColor="text1"/>
          <w:sz w:val="28"/>
          <w:szCs w:val="28"/>
          <w:lang w:val="vi-VN"/>
        </w:rPr>
      </w:pPr>
      <w:r w:rsidRPr="007849F7">
        <w:rPr>
          <w:b/>
          <w:bCs/>
          <w:color w:val="000000" w:themeColor="text1"/>
          <w:sz w:val="28"/>
          <w:szCs w:val="28"/>
          <w:lang w:val="vi-VN"/>
        </w:rPr>
        <w:t>I. TỔ CHỨC THỰC HIỆN ĐÁNH GIÁ</w:t>
      </w:r>
    </w:p>
    <w:p w14:paraId="06E7C51A" w14:textId="77777777" w:rsidR="00605B4C" w:rsidRPr="0031478E" w:rsidRDefault="00605B4C" w:rsidP="007849F7">
      <w:pPr>
        <w:ind w:firstLine="720"/>
        <w:rPr>
          <w:b/>
          <w:bCs/>
          <w:szCs w:val="28"/>
          <w:lang w:val="vi-VN"/>
        </w:rPr>
      </w:pPr>
      <w:r w:rsidRPr="007849F7">
        <w:rPr>
          <w:b/>
          <w:bCs/>
          <w:szCs w:val="28"/>
          <w:lang w:val="vi-VN"/>
        </w:rPr>
        <w:t>1. Bối cảnh xây dựng dự án, dự thảo văn bản quy phạm pháp luật</w:t>
      </w:r>
    </w:p>
    <w:p w14:paraId="554702C9" w14:textId="77777777" w:rsidR="00D85F31" w:rsidRPr="0031478E" w:rsidRDefault="00D85F31" w:rsidP="007849F7">
      <w:pPr>
        <w:ind w:firstLine="720"/>
        <w:rPr>
          <w:szCs w:val="28"/>
          <w:lang w:val="vi-VN"/>
        </w:rPr>
      </w:pPr>
      <w:r w:rsidRPr="0031478E">
        <w:rPr>
          <w:rFonts w:eastAsia="Times New Roman" w:cs="Times New Roman"/>
          <w:szCs w:val="28"/>
          <w:lang w:val="vi-VN"/>
        </w:rPr>
        <w:t>Trong bối cảnh đất nước đang đẩy mạnh cải cách hành chính, thực hiện chủ trương sắp xếp, tổ chức lại bộ máy chính quyền địa phương hai cấp theo Nghị quyết số 60-NQ/TW ngày 12 tháng 4 năm 2025 của Hội nghị lần thứ 11 Ban Chấp hành Trung ương Đảng khóa XIII và Luật Tổ chức chính quyền địa phương số 72/2025/QH15, việc phân cấp, phân quyền một cách hợp lý trở thành yêu cầu cấp thiết nhằm phát huy quyền tự chủ, chủ động của địa phương trong quản lý nhà nước.</w:t>
      </w:r>
    </w:p>
    <w:p w14:paraId="2042BB2E" w14:textId="77777777" w:rsidR="00D85F31" w:rsidRPr="0031478E" w:rsidRDefault="00D85F31" w:rsidP="007849F7">
      <w:pPr>
        <w:ind w:firstLine="720"/>
        <w:rPr>
          <w:szCs w:val="28"/>
          <w:lang w:val="vi-VN"/>
        </w:rPr>
      </w:pPr>
      <w:r w:rsidRPr="0031478E">
        <w:rPr>
          <w:rFonts w:eastAsia="Times New Roman" w:cs="Times New Roman"/>
          <w:szCs w:val="28"/>
          <w:lang w:val="vi-VN"/>
        </w:rPr>
        <w:t>Ngày 29 tháng 6 năm 2025, Chính phủ ban hành Nghị định số 163/2025/NĐ-CP quy định chi tiết một số điều và biện pháp để tổ chức, hướng dẫn thi hành Luật Dược. Tại khoản 2 Điều 130 Nghị định này, Chính phủ giao Chủ tịch Ủy ban nhân dân cấp tỉnh tổ chức việc tiếp nhận kê khai giá thuốc theo quy định tại Luật Giá và các văn bản hướng dẫn Luật Giá; đồng thời có chính sách ưu đãi, hỗ trợ phát triển hệ thống cung ứng thuốc, cơ sở bán lẻ thuốc lưu động ở vùng đồng bào dân tộc thiểu số, miền núi, hải đảo, vùng có điều kiện kinh tế xã hội khó khăn, vùng có điều kiện kinh tế xã hội đặc biệt khó khăn.</w:t>
      </w:r>
    </w:p>
    <w:p w14:paraId="3B13853D" w14:textId="77777777" w:rsidR="00D85F31" w:rsidRPr="0031478E" w:rsidRDefault="00D85F31" w:rsidP="007849F7">
      <w:pPr>
        <w:ind w:firstLine="720"/>
        <w:rPr>
          <w:szCs w:val="28"/>
          <w:lang w:val="vi-VN"/>
        </w:rPr>
      </w:pPr>
      <w:r w:rsidRPr="0031478E">
        <w:rPr>
          <w:rFonts w:eastAsia="Times New Roman" w:cs="Times New Roman"/>
          <w:szCs w:val="28"/>
          <w:lang w:val="vi-VN"/>
        </w:rPr>
        <w:t>Tỉnh Lạng Sơn là địa phương biên giới, có vị trí chiến lược quan trọng trong giao lưu kinh tế với Trung Quốc. Hoạt động kinh doanh dược phẩm trên địa bàn có những đặc thù riêng với số lượng cơ sở kinh doanh dược đa dạng, đặt ra yêu cầu về quản lý giá thuốc chặt chẽ, kịp thời, bảo đảm quyền lợi của người tiêu dùng và sự minh bạch trong kinh doanh dược phẩm.</w:t>
      </w:r>
    </w:p>
    <w:p w14:paraId="19BF26FA" w14:textId="355FE889" w:rsidR="00D85F31" w:rsidRPr="0031478E" w:rsidRDefault="00D85F31" w:rsidP="007849F7">
      <w:pPr>
        <w:ind w:firstLine="720"/>
        <w:rPr>
          <w:szCs w:val="28"/>
          <w:lang w:val="vi-VN"/>
        </w:rPr>
      </w:pPr>
      <w:r w:rsidRPr="0031478E">
        <w:rPr>
          <w:rFonts w:eastAsia="Times New Roman" w:cs="Times New Roman"/>
          <w:szCs w:val="28"/>
          <w:lang w:val="vi-VN"/>
        </w:rPr>
        <w:lastRenderedPageBreak/>
        <w:t>Để cụ thể hóa nhiệm vụ được giao tại Nghị định số 163/2025/NĐ-CP và tạo cơ sở pháp lý rõ ràng cho hoạt động tiếp nhận kê khai giá thuốc trên địa bàn, Sở Y tế tham mưu xây dựng dự thảo Quyết định của Chủ tịch Ủy ban nhân dân tỉnh về việc phân cấp cho Sở Y tế thực hiện nhiệm vụ tổ chức tiếp nhận kê khai giá thuốc thuộc thẩm quyền của Chủ tịch Ủy ban nhân dân tỉnh.</w:t>
      </w:r>
    </w:p>
    <w:p w14:paraId="04812188" w14:textId="77777777" w:rsidR="00605B4C" w:rsidRPr="007849F7" w:rsidRDefault="00605B4C" w:rsidP="007849F7">
      <w:pPr>
        <w:ind w:firstLine="720"/>
        <w:rPr>
          <w:b/>
          <w:bCs/>
          <w:szCs w:val="28"/>
          <w:lang w:val="vi-VN"/>
        </w:rPr>
      </w:pPr>
      <w:r w:rsidRPr="007849F7">
        <w:rPr>
          <w:b/>
          <w:bCs/>
          <w:szCs w:val="28"/>
          <w:lang w:val="vi-VN"/>
        </w:rPr>
        <w:t>2. Mục đích, yêu cầu đánh giá</w:t>
      </w:r>
    </w:p>
    <w:p w14:paraId="28155C5A" w14:textId="2845C510" w:rsidR="005C771F" w:rsidRPr="00A340C1" w:rsidRDefault="00D85F31" w:rsidP="007849F7">
      <w:pPr>
        <w:ind w:firstLine="720"/>
        <w:rPr>
          <w:b/>
          <w:bCs/>
          <w:szCs w:val="28"/>
          <w:lang w:val="vi-VN"/>
        </w:rPr>
      </w:pPr>
      <w:r w:rsidRPr="00A340C1">
        <w:rPr>
          <w:b/>
          <w:bCs/>
          <w:szCs w:val="28"/>
          <w:lang w:val="vi-VN"/>
        </w:rPr>
        <w:t>a) Mục đích</w:t>
      </w:r>
    </w:p>
    <w:p w14:paraId="02190E37" w14:textId="77777777" w:rsidR="00D85F31" w:rsidRPr="007849F7" w:rsidRDefault="00D85F31" w:rsidP="007849F7">
      <w:pPr>
        <w:ind w:firstLine="720"/>
        <w:rPr>
          <w:szCs w:val="28"/>
          <w:lang w:val="vi-VN"/>
        </w:rPr>
      </w:pPr>
      <w:r w:rsidRPr="007849F7">
        <w:rPr>
          <w:rFonts w:eastAsia="Times New Roman" w:cs="Times New Roman"/>
          <w:szCs w:val="28"/>
          <w:lang w:val="vi-VN"/>
        </w:rPr>
        <w:t>Thứ nhất, bảo đảm dự thảo Quyết định của Chủ tịch Ủy ban nhân dân tỉnh về việc phân cấp cho Sở Y tế thực hiện nhiệm vụ tổ chức tiếp nhận kê khai giá thuốc đáp ứng đầy đủ các yêu cầu về nội dung, thẩm quyền, hình thức, trình tự, thủ tục theo quy định của Luật Ban hành văn bản quy phạm pháp luật số 64/2025/QH15 ngày 27 tháng 3 năm 2025.</w:t>
      </w:r>
    </w:p>
    <w:p w14:paraId="1642FD32" w14:textId="77777777" w:rsidR="00D85F31" w:rsidRPr="007849F7" w:rsidRDefault="00D85F31" w:rsidP="007849F7">
      <w:pPr>
        <w:ind w:firstLine="720"/>
        <w:rPr>
          <w:szCs w:val="28"/>
          <w:lang w:val="vi-VN"/>
        </w:rPr>
      </w:pPr>
      <w:r w:rsidRPr="007849F7">
        <w:rPr>
          <w:rFonts w:eastAsia="Times New Roman" w:cs="Times New Roman"/>
          <w:szCs w:val="28"/>
          <w:lang w:val="vi-VN"/>
        </w:rPr>
        <w:t>Thứ hai, xác định sự phù hợp của việc phân cấp với năng lực chuyên môn và điều kiện thực tế của Sở Y tế; đồng thời khẳng định việc phân cấp không làm phát sinh thêm tầng nấc quản lý, không tăng biên chế và không đặt ra yêu cầu bố trí thêm kinh phí ngân sách tỉnh.</w:t>
      </w:r>
    </w:p>
    <w:p w14:paraId="22F816E6" w14:textId="77777777" w:rsidR="00D85F31" w:rsidRPr="007849F7" w:rsidRDefault="00D85F31" w:rsidP="007849F7">
      <w:pPr>
        <w:ind w:firstLine="720"/>
        <w:rPr>
          <w:szCs w:val="28"/>
          <w:lang w:val="vi-VN"/>
        </w:rPr>
      </w:pPr>
      <w:r w:rsidRPr="007849F7">
        <w:rPr>
          <w:rFonts w:eastAsia="Times New Roman" w:cs="Times New Roman"/>
          <w:szCs w:val="28"/>
          <w:lang w:val="vi-VN"/>
        </w:rPr>
        <w:t>Thứ ba, phát hiện kịp thời những vấn đề bất hợp lý, chưa phù hợp trong quá trình xây dựng dự thảo để chỉnh sửa, hoàn thiện trước khi trình Chủ tịch Ủy ban nhân dân tỉnh xem xét, ban hành, bảo đảm văn bản sau khi ban hành có tính khả thi cao, đi vào thực tiễn một cách hiệu quả.</w:t>
      </w:r>
    </w:p>
    <w:p w14:paraId="1DD68607" w14:textId="77777777" w:rsidR="007849F7" w:rsidRPr="00A340C1" w:rsidRDefault="007849F7" w:rsidP="007849F7">
      <w:pPr>
        <w:ind w:firstLine="720"/>
        <w:rPr>
          <w:b/>
          <w:bCs/>
          <w:szCs w:val="28"/>
          <w:lang w:val="vi-VN"/>
        </w:rPr>
      </w:pPr>
      <w:r w:rsidRPr="00A340C1">
        <w:rPr>
          <w:rFonts w:eastAsia="Times New Roman" w:cs="Times New Roman"/>
          <w:b/>
          <w:bCs/>
          <w:szCs w:val="28"/>
          <w:lang w:val="vi-VN"/>
        </w:rPr>
        <w:t>b) Yêu cầu đánh giá</w:t>
      </w:r>
    </w:p>
    <w:p w14:paraId="49E08519" w14:textId="77777777" w:rsidR="007849F7" w:rsidRPr="007849F7" w:rsidRDefault="007849F7" w:rsidP="007849F7">
      <w:pPr>
        <w:ind w:firstLine="720"/>
        <w:rPr>
          <w:szCs w:val="28"/>
          <w:lang w:val="vi-VN"/>
        </w:rPr>
      </w:pPr>
      <w:r w:rsidRPr="007849F7">
        <w:rPr>
          <w:rFonts w:eastAsia="Times New Roman" w:cs="Times New Roman"/>
          <w:szCs w:val="28"/>
          <w:lang w:val="vi-VN"/>
        </w:rPr>
        <w:t>Một là, đánh giá phải khách quan, toàn diện, dựa trên cơ sở pháp lý vững chắc từ các quy định hiện hành, đặc biệt là Luật Ban hành văn bản quy phạm pháp luật số 64/2025/QH15, Luật Tổ chức chính quyền địa phương số 72/2025/QH15, Luật Giá và Nghị định số 163/2025/NĐ-CP ngày 29 tháng 6 năm 2025 của Chính phủ.</w:t>
      </w:r>
    </w:p>
    <w:p w14:paraId="455EDFA8" w14:textId="77777777" w:rsidR="007849F7" w:rsidRPr="007849F7" w:rsidRDefault="007849F7" w:rsidP="007849F7">
      <w:pPr>
        <w:ind w:firstLine="720"/>
        <w:rPr>
          <w:szCs w:val="28"/>
          <w:lang w:val="vi-VN"/>
        </w:rPr>
      </w:pPr>
      <w:r w:rsidRPr="007849F7">
        <w:rPr>
          <w:rFonts w:eastAsia="Times New Roman" w:cs="Times New Roman"/>
          <w:szCs w:val="28"/>
          <w:lang w:val="vi-VN"/>
        </w:rPr>
        <w:t>Hai là, đánh giá việc phân cấp phải bảo đảm tính hợp hiến, hợp pháp; phù hợp với nguyên tắc phân định thẩm quyền theo quy định của Luật Tổ chức chính quyền địa phương số 72/2025/QH15; cơ quan được phân cấp phải có đủ điều kiện về năng lực, tài chính, nguồn nhân lực để thực hiện nhiệm vụ.</w:t>
      </w:r>
    </w:p>
    <w:p w14:paraId="4CE6C37F" w14:textId="37F214E5" w:rsidR="00D85F31" w:rsidRPr="0031478E" w:rsidRDefault="007849F7" w:rsidP="007849F7">
      <w:pPr>
        <w:ind w:firstLine="720"/>
        <w:rPr>
          <w:szCs w:val="28"/>
          <w:lang w:val="vi-VN"/>
        </w:rPr>
      </w:pPr>
      <w:r w:rsidRPr="007849F7">
        <w:rPr>
          <w:rFonts w:eastAsia="Times New Roman" w:cs="Times New Roman"/>
          <w:szCs w:val="28"/>
          <w:lang w:val="vi-VN"/>
        </w:rPr>
        <w:t>Ba là, nội dung đánh giá phải bảo đảm trung thực, đầy đủ, không bỏ sót các vấn đề có ảnh hưởng đến quyền và lợi ích hợp pháp của tổ chức, cá nhân; kết quả đánh giá là cơ sở để cơ quan có thẩm quyền xem xét, quyết định ban hành văn bản.</w:t>
      </w:r>
    </w:p>
    <w:p w14:paraId="68F022E3" w14:textId="77777777" w:rsidR="00605B4C" w:rsidRPr="007849F7" w:rsidRDefault="00605B4C" w:rsidP="007849F7">
      <w:pPr>
        <w:pStyle w:val="Heading1"/>
        <w:spacing w:before="120" w:after="0"/>
        <w:ind w:firstLine="720"/>
        <w:rPr>
          <w:color w:val="000000" w:themeColor="text1"/>
          <w:sz w:val="28"/>
          <w:szCs w:val="28"/>
          <w:lang w:val="vi-VN"/>
        </w:rPr>
      </w:pPr>
      <w:r w:rsidRPr="007849F7">
        <w:rPr>
          <w:b/>
          <w:bCs/>
          <w:color w:val="000000" w:themeColor="text1"/>
          <w:sz w:val="28"/>
          <w:szCs w:val="28"/>
          <w:lang w:val="vi-VN"/>
        </w:rPr>
        <w:t>II. KẾT QUẢ ĐÁNH GIÁ</w:t>
      </w:r>
    </w:p>
    <w:p w14:paraId="0B41DBD9" w14:textId="77777777" w:rsidR="00BA1476" w:rsidRPr="0031478E" w:rsidRDefault="00605B4C" w:rsidP="007849F7">
      <w:pPr>
        <w:ind w:firstLine="720"/>
        <w:rPr>
          <w:b/>
          <w:bCs/>
          <w:szCs w:val="28"/>
          <w:lang w:val="vi-VN"/>
        </w:rPr>
      </w:pPr>
      <w:r w:rsidRPr="007849F7">
        <w:rPr>
          <w:b/>
          <w:bCs/>
          <w:szCs w:val="28"/>
          <w:lang w:val="vi-VN"/>
        </w:rPr>
        <w:t xml:space="preserve">1. Đánh giá thủ tục hành chính </w:t>
      </w:r>
    </w:p>
    <w:p w14:paraId="23A2D765" w14:textId="39B5B732" w:rsidR="003C1024" w:rsidRPr="007849F7" w:rsidRDefault="00981C86" w:rsidP="007849F7">
      <w:pPr>
        <w:ind w:firstLine="720"/>
        <w:rPr>
          <w:szCs w:val="28"/>
          <w:lang w:val="vi-VN"/>
        </w:rPr>
      </w:pPr>
      <w:r w:rsidRPr="007849F7">
        <w:rPr>
          <w:szCs w:val="28"/>
          <w:lang w:val="vi-VN"/>
        </w:rPr>
        <w:t xml:space="preserve">- </w:t>
      </w:r>
      <w:r w:rsidR="003C1024" w:rsidRPr="007849F7">
        <w:rPr>
          <w:szCs w:val="28"/>
          <w:lang w:val="vi-VN"/>
        </w:rPr>
        <w:t>Tại dự thảo Quyết định của Chủ tịch Ủy ban nhân dân tỉnh phân cấp cho Sở Y tế thực hiện nhiệm vụ tổ chức tiếp nhận kê khai giá thuốc thuộc thẩm quyền của Chủ tịch Ủy ban nhân dân tỉnh không quy định về thủ tục hành chính, do vậy Sở Y tế không đánh giá nội dung này.</w:t>
      </w:r>
    </w:p>
    <w:p w14:paraId="764F1A9E" w14:textId="77777777" w:rsidR="00BA1476" w:rsidRPr="00BA1476" w:rsidRDefault="00605B4C" w:rsidP="007849F7">
      <w:pPr>
        <w:ind w:firstLine="720"/>
        <w:rPr>
          <w:b/>
          <w:bCs/>
          <w:szCs w:val="28"/>
          <w:lang w:val="vi-VN"/>
        </w:rPr>
      </w:pPr>
      <w:r w:rsidRPr="007849F7">
        <w:rPr>
          <w:b/>
          <w:bCs/>
          <w:szCs w:val="28"/>
          <w:lang w:val="vi-VN"/>
        </w:rPr>
        <w:t xml:space="preserve">2. Việc phân quyền, phân cấp </w:t>
      </w:r>
    </w:p>
    <w:p w14:paraId="315F5A69" w14:textId="0C7EC4C3" w:rsidR="007B411E" w:rsidRPr="00A340C1" w:rsidRDefault="003C1024" w:rsidP="007849F7">
      <w:pPr>
        <w:ind w:firstLine="720"/>
        <w:rPr>
          <w:b/>
          <w:bCs/>
          <w:szCs w:val="28"/>
          <w:lang w:val="vi-VN"/>
        </w:rPr>
      </w:pPr>
      <w:r w:rsidRPr="00A340C1">
        <w:rPr>
          <w:b/>
          <w:bCs/>
          <w:szCs w:val="28"/>
          <w:lang w:val="vi-VN"/>
        </w:rPr>
        <w:lastRenderedPageBreak/>
        <w:t>a) Sự cần thiết của việc phân cấp</w:t>
      </w:r>
    </w:p>
    <w:p w14:paraId="0191CA2C" w14:textId="77777777" w:rsidR="007849F7" w:rsidRPr="0031478E" w:rsidRDefault="007849F7" w:rsidP="007849F7">
      <w:pPr>
        <w:ind w:firstLine="720"/>
        <w:rPr>
          <w:szCs w:val="28"/>
          <w:lang w:val="vi-VN"/>
        </w:rPr>
      </w:pPr>
      <w:r w:rsidRPr="0031478E">
        <w:rPr>
          <w:szCs w:val="28"/>
          <w:lang w:val="vi-VN"/>
        </w:rPr>
        <w:t>Việc Chủ tịch Ủy ban nhân dân tỉnh phân cấp cho Sở Y tế thực hiện nhiệm vụ tổ chức tiếp nhận kê khai giá thuốc là cần thiết, xuất phát từ các lý do sau:</w:t>
      </w:r>
    </w:p>
    <w:p w14:paraId="5105B122" w14:textId="77777777" w:rsidR="007849F7" w:rsidRPr="0031478E" w:rsidRDefault="007849F7" w:rsidP="007849F7">
      <w:pPr>
        <w:ind w:firstLine="720"/>
        <w:rPr>
          <w:szCs w:val="28"/>
          <w:lang w:val="vi-VN"/>
        </w:rPr>
      </w:pPr>
      <w:r w:rsidRPr="0031478E">
        <w:rPr>
          <w:szCs w:val="28"/>
          <w:lang w:val="vi-VN"/>
        </w:rPr>
        <w:t>Thứ nhất, xuất phát từ yêu cầu cải cách hành chính và tinh gọn bộ máy. Thực hiện chủ trương của Đảng và Nhà nước về đẩy mạnh phân cấp, phân quyền theo Nghị quyết số 60-NQ/TW ngày 12 tháng 4 năm 2025 và Luật Tổ chức chính quyền địa phương số 72/2025/QH15, việc Chủ tịch Ủy ban nhân dân tỉnh phân cấp cho cơ quan chuyên môn trực tiếp thực hiện các nhiệm vụ cụ thể là xu hướng tất yếu nhằm rút ngắn quy trình xử lý, nâng cao hiệu quả phục vụ người dân và doanh nghiệp.</w:t>
      </w:r>
    </w:p>
    <w:p w14:paraId="62693334" w14:textId="77777777" w:rsidR="007849F7" w:rsidRPr="0031478E" w:rsidRDefault="007849F7" w:rsidP="007849F7">
      <w:pPr>
        <w:ind w:firstLine="720"/>
        <w:rPr>
          <w:szCs w:val="28"/>
          <w:lang w:val="vi-VN"/>
        </w:rPr>
      </w:pPr>
      <w:r w:rsidRPr="0031478E">
        <w:rPr>
          <w:szCs w:val="28"/>
          <w:lang w:val="vi-VN"/>
        </w:rPr>
        <w:t>Thứ hai, bảo đảm thực hiện đúng nhiệm vụ được giao tại Nghị định số 163/2025/NĐ-CP. Khoản 2 Điều 130 Nghị định số 163/2025/NĐ-CP ngày 29 tháng 6 năm 2025 của Chính phủ đã giao Chủ tịch Ủy ban nhân dân cấp tỉnh tổ chức tiếp nhận kê khai giá thuốc theo quy định tại Luật Giá và các văn bản hướng dẫn Luật Giá. Để thực thi nhiệm vụ này một cách chuyên nghiệp, kịp thời và hiệu quả, việc phân cấp cho Sở Y tế – cơ quan chuyên môn quản lý nhà nước về dược trên địa bàn – là giải pháp phù hợp nhất với thực tiễn.</w:t>
      </w:r>
    </w:p>
    <w:p w14:paraId="78DE2CA0" w14:textId="77777777" w:rsidR="007849F7" w:rsidRPr="0031478E" w:rsidRDefault="007849F7" w:rsidP="007849F7">
      <w:pPr>
        <w:ind w:firstLine="720"/>
        <w:rPr>
          <w:szCs w:val="28"/>
          <w:lang w:val="vi-VN"/>
        </w:rPr>
      </w:pPr>
      <w:r w:rsidRPr="0031478E">
        <w:rPr>
          <w:szCs w:val="28"/>
          <w:lang w:val="vi-VN"/>
        </w:rPr>
        <w:t>Thứ ba, phù hợp với năng lực và điều kiện của Sở Y tế. Sở Y tế là cơ quan chuyên môn thuộc Ủy ban nhân dân tỉnh, có chức năng tham mưu giúp Ủy ban nhân dân tỉnh thực hiện quản lý nhà nước về y tế, dược trên địa bàn. Sở Y tế có đội ngũ cán bộ, công chức được đào tạo chuyên sâu về dược, am hiểu đặc điểm hoạt động kinh doanh dược phẩm, đủ điều kiện chuyên môn để tổ chức tiếp nhận, kiểm tra, rà soát hồ sơ kê khai giá thuốc theo đúng quy định của Luật Giá và các văn bản hướng dẫn.</w:t>
      </w:r>
    </w:p>
    <w:p w14:paraId="1B1AAEA6" w14:textId="7E62F50D" w:rsidR="007849F7" w:rsidRPr="0031478E" w:rsidRDefault="007849F7" w:rsidP="007849F7">
      <w:pPr>
        <w:ind w:firstLine="720"/>
        <w:rPr>
          <w:szCs w:val="28"/>
          <w:lang w:val="vi-VN"/>
        </w:rPr>
      </w:pPr>
      <w:r w:rsidRPr="0031478E">
        <w:rPr>
          <w:szCs w:val="28"/>
          <w:lang w:val="vi-VN"/>
        </w:rPr>
        <w:t>Thứ tư, không phát sinh kinh phí và biên chế mới. Việc phân cấp không đặt ra yêu cầu phải bố trí kinh phí ngân sách tỉnh riêng để triển khai, không phát sinh thêm bộ máy, biên chế mới. Sở Y tế sử dụng đội ngũ cán bộ, công chức, viên chức hiện có để thực hiện nhiệm vụ được phân cấp, bảo đảm tiết kiệm, hiệu quả trong quản lý nguồn lực nhà nước.</w:t>
      </w:r>
    </w:p>
    <w:p w14:paraId="6FE03954" w14:textId="7C504D61" w:rsidR="003C1024" w:rsidRPr="00A340C1" w:rsidRDefault="003C1024" w:rsidP="007849F7">
      <w:pPr>
        <w:ind w:firstLine="720"/>
        <w:rPr>
          <w:b/>
          <w:bCs/>
          <w:szCs w:val="28"/>
          <w:lang w:val="vi-VN"/>
        </w:rPr>
      </w:pPr>
      <w:r w:rsidRPr="00A340C1">
        <w:rPr>
          <w:b/>
          <w:bCs/>
          <w:szCs w:val="28"/>
          <w:lang w:val="vi-VN"/>
        </w:rPr>
        <w:t>b) Thẩm quyền phân cấp</w:t>
      </w:r>
    </w:p>
    <w:p w14:paraId="6824D12A" w14:textId="51C98B9A" w:rsidR="007B411E" w:rsidRPr="007849F7" w:rsidRDefault="007B411E" w:rsidP="007849F7">
      <w:pPr>
        <w:ind w:firstLine="720"/>
        <w:rPr>
          <w:b/>
          <w:bCs/>
          <w:szCs w:val="28"/>
          <w:lang w:val="vi-VN"/>
        </w:rPr>
      </w:pPr>
      <w:r w:rsidRPr="007849F7">
        <w:rPr>
          <w:szCs w:val="28"/>
          <w:lang w:val="vi-VN"/>
        </w:rPr>
        <w:t>Theo quy định tại khoản 2 Điều 130 Nghị định số 163/2025/NĐ-CP của Chính phủ Quy định chi tiết một số điều và biện pháp để tổ chức, hướng dẫn thi hành Luật Dược thì việc tổ chức việc tiếp nhận kê khai giá thuốc theo quy định tại Luật Giá và các văn bản hướng dẫn Luật Giá thuộc thẩm quyền của Chủ tịch Ủy ban nhân dân tỉnh.</w:t>
      </w:r>
    </w:p>
    <w:p w14:paraId="70A54AFC" w14:textId="5C0664A7" w:rsidR="003C1024" w:rsidRPr="00A340C1" w:rsidRDefault="003C1024" w:rsidP="007849F7">
      <w:pPr>
        <w:ind w:firstLine="720"/>
        <w:rPr>
          <w:b/>
          <w:bCs/>
          <w:szCs w:val="28"/>
          <w:lang w:val="vi-VN"/>
        </w:rPr>
      </w:pPr>
      <w:r w:rsidRPr="00A340C1">
        <w:rPr>
          <w:b/>
          <w:bCs/>
          <w:szCs w:val="28"/>
          <w:lang w:val="vi-VN"/>
        </w:rPr>
        <w:t>c) Nội dung phân cấp</w:t>
      </w:r>
    </w:p>
    <w:p w14:paraId="480FF5D4" w14:textId="77777777" w:rsidR="001237B0" w:rsidRPr="007849F7" w:rsidRDefault="001237B0" w:rsidP="007849F7">
      <w:pPr>
        <w:ind w:firstLine="720"/>
        <w:rPr>
          <w:szCs w:val="28"/>
          <w:lang w:val="vi-VN"/>
        </w:rPr>
      </w:pPr>
      <w:r w:rsidRPr="007849F7">
        <w:rPr>
          <w:szCs w:val="28"/>
          <w:lang w:val="vi-VN"/>
        </w:rPr>
        <w:t>Chủ tịch Ủy ban nhân cấp tỉnh phân cấp cho Sở Y tế tổ chức việc tiếp nhận kê khai giá thuốc theo quy định tại Luật Giá và các văn bản hướng dẫn Luật Giá thuộc thẩm quyền của Chủ tịch Ủy ban nhân dân tỉnh quy định tại khoản 2 Điều 130 Nghị định số 163/2025/NĐ-CP ngày ngày 29 tháng 6 năm 2025 của Chính phủ quy định chi tiết một số điều và biện pháp để tổ chức, hướng dẫn thi hành Luật Dược.</w:t>
      </w:r>
    </w:p>
    <w:p w14:paraId="12E79534" w14:textId="7FB46EEA" w:rsidR="00041EFD" w:rsidRPr="00A340C1" w:rsidRDefault="00041EFD" w:rsidP="007849F7">
      <w:pPr>
        <w:ind w:firstLine="720"/>
        <w:rPr>
          <w:b/>
          <w:bCs/>
          <w:szCs w:val="28"/>
          <w:lang w:val="vi-VN"/>
        </w:rPr>
      </w:pPr>
      <w:r w:rsidRPr="00A340C1">
        <w:rPr>
          <w:b/>
          <w:bCs/>
          <w:szCs w:val="28"/>
          <w:lang w:val="vi-VN"/>
        </w:rPr>
        <w:t>d) Điều kiện bảo đảm để thực hiện nội dung được phân phân cấp</w:t>
      </w:r>
    </w:p>
    <w:p w14:paraId="014AA0C8" w14:textId="77BF6EB2" w:rsidR="00041EFD" w:rsidRPr="007849F7" w:rsidRDefault="00041EFD" w:rsidP="007849F7">
      <w:pPr>
        <w:ind w:firstLine="720"/>
        <w:rPr>
          <w:szCs w:val="28"/>
          <w:lang w:val="vi-VN"/>
        </w:rPr>
      </w:pPr>
      <w:r w:rsidRPr="007849F7">
        <w:rPr>
          <w:szCs w:val="28"/>
          <w:lang w:val="vi-VN"/>
        </w:rPr>
        <w:lastRenderedPageBreak/>
        <w:t>- Về nguồn tài chính: Quyết định của Chủ tịch Ủy ban nhân dân tỉnh không phải bố trí kinh phí ngân sách tỉnh để triển khai thực hiện.</w:t>
      </w:r>
    </w:p>
    <w:p w14:paraId="1B6A4130" w14:textId="73C4D5CA" w:rsidR="00041EFD" w:rsidRPr="007849F7" w:rsidRDefault="00041EFD" w:rsidP="007849F7">
      <w:pPr>
        <w:ind w:firstLine="720"/>
        <w:rPr>
          <w:szCs w:val="28"/>
          <w:lang w:val="vi-VN"/>
        </w:rPr>
      </w:pPr>
      <w:r w:rsidRPr="007849F7">
        <w:rPr>
          <w:szCs w:val="28"/>
          <w:lang w:val="vi-VN"/>
        </w:rPr>
        <w:t>- Về nguồn nhân lực: Quyết định của Chủ tịch Ủy ban nhân dân tỉnh không đặt ra yêu cầu phải bố trí nguồn nhân lực để tổ chức thực hiện, khi quyết định được ban hành các cơ quan, tổ chức, cá nhân thuộc đối tượng có trách nhiệm thực thi, không phát sinh thêm bộ máy, biên chế trong tổ chức thi hành quyết định.</w:t>
      </w:r>
    </w:p>
    <w:p w14:paraId="6B191583" w14:textId="77777777" w:rsidR="00BA1476" w:rsidRPr="00BA1476" w:rsidRDefault="00605B4C" w:rsidP="007849F7">
      <w:pPr>
        <w:ind w:firstLine="720"/>
        <w:rPr>
          <w:b/>
          <w:bCs/>
          <w:szCs w:val="28"/>
          <w:lang w:val="vi-VN"/>
        </w:rPr>
      </w:pPr>
      <w:r w:rsidRPr="007849F7">
        <w:rPr>
          <w:b/>
          <w:bCs/>
          <w:szCs w:val="28"/>
          <w:lang w:val="vi-VN"/>
        </w:rPr>
        <w:t xml:space="preserve">3. Việc ứng dụng, thúc đẩy phát triển khoa học, công nghệ, đổi mới sáng tạo và chuyển đổi số </w:t>
      </w:r>
    </w:p>
    <w:p w14:paraId="147C73CB" w14:textId="195849EF" w:rsidR="003C1024" w:rsidRPr="007849F7" w:rsidRDefault="003C1024" w:rsidP="007849F7">
      <w:pPr>
        <w:ind w:firstLine="720"/>
        <w:rPr>
          <w:szCs w:val="28"/>
          <w:lang w:val="vi-VN"/>
        </w:rPr>
      </w:pPr>
      <w:r w:rsidRPr="007849F7">
        <w:rPr>
          <w:szCs w:val="28"/>
          <w:lang w:val="vi-VN"/>
        </w:rPr>
        <w:t>- Không.</w:t>
      </w:r>
    </w:p>
    <w:p w14:paraId="51526C99" w14:textId="77777777" w:rsidR="00BA1476" w:rsidRPr="00BA1476" w:rsidRDefault="00605B4C" w:rsidP="007849F7">
      <w:pPr>
        <w:ind w:firstLine="720"/>
        <w:rPr>
          <w:b/>
          <w:bCs/>
          <w:szCs w:val="28"/>
          <w:lang w:val="vi-VN"/>
        </w:rPr>
      </w:pPr>
      <w:r w:rsidRPr="007849F7">
        <w:rPr>
          <w:b/>
          <w:bCs/>
          <w:szCs w:val="28"/>
          <w:lang w:val="vi-VN"/>
        </w:rPr>
        <w:t>4. Việc bảo đảm bình đẳng giới</w:t>
      </w:r>
    </w:p>
    <w:p w14:paraId="41E3CBF9" w14:textId="5CFF8306" w:rsidR="003C1024" w:rsidRPr="007849F7" w:rsidRDefault="003C1024" w:rsidP="007849F7">
      <w:pPr>
        <w:ind w:firstLine="720"/>
        <w:rPr>
          <w:szCs w:val="28"/>
          <w:lang w:val="vi-VN"/>
        </w:rPr>
      </w:pPr>
      <w:r w:rsidRPr="007849F7">
        <w:rPr>
          <w:b/>
          <w:bCs/>
          <w:szCs w:val="28"/>
          <w:lang w:val="vi-VN"/>
        </w:rPr>
        <w:t>-</w:t>
      </w:r>
      <w:r w:rsidRPr="007849F7">
        <w:rPr>
          <w:szCs w:val="28"/>
          <w:lang w:val="vi-VN"/>
        </w:rPr>
        <w:t xml:space="preserve"> Không.</w:t>
      </w:r>
    </w:p>
    <w:p w14:paraId="75A2A70C" w14:textId="77777777" w:rsidR="00BA1476" w:rsidRPr="00BA1476" w:rsidRDefault="00605B4C" w:rsidP="007849F7">
      <w:pPr>
        <w:ind w:firstLine="720"/>
        <w:rPr>
          <w:b/>
          <w:bCs/>
          <w:szCs w:val="28"/>
          <w:lang w:val="vi-VN"/>
        </w:rPr>
      </w:pPr>
      <w:r w:rsidRPr="007849F7">
        <w:rPr>
          <w:b/>
          <w:bCs/>
          <w:szCs w:val="28"/>
          <w:lang w:val="vi-VN"/>
        </w:rPr>
        <w:t>5. Việc thực hiện chính sách dân tộc</w:t>
      </w:r>
    </w:p>
    <w:p w14:paraId="32F194CB" w14:textId="6BBE1118" w:rsidR="003C1024" w:rsidRPr="00605B4C" w:rsidRDefault="003C1024" w:rsidP="007849F7">
      <w:pPr>
        <w:ind w:firstLine="720"/>
      </w:pPr>
      <w:r w:rsidRPr="007849F7">
        <w:rPr>
          <w:szCs w:val="28"/>
        </w:rPr>
        <w:t>- Không.</w:t>
      </w:r>
    </w:p>
    <w:p w14:paraId="62686051" w14:textId="75B1B0C4" w:rsidR="00605B4C" w:rsidRPr="003C1024" w:rsidRDefault="00A340C1" w:rsidP="003C1024">
      <w:r>
        <mc:AlternateContent>
          <mc:Choice Requires="wps">
            <w:drawing>
              <wp:anchor distT="0" distB="0" distL="114300" distR="114300" simplePos="0" relativeHeight="251661312" behindDoc="0" locked="0" layoutInCell="1" allowOverlap="1" wp14:anchorId="3CD74F68" wp14:editId="3651AFA8">
                <wp:simplePos x="0" y="0"/>
                <wp:positionH relativeFrom="margin">
                  <wp:align>center</wp:align>
                </wp:positionH>
                <wp:positionV relativeFrom="paragraph">
                  <wp:posOffset>311960</wp:posOffset>
                </wp:positionV>
                <wp:extent cx="2554014" cy="0"/>
                <wp:effectExtent l="0" t="0" r="0" b="0"/>
                <wp:wrapNone/>
                <wp:docPr id="282686505" name="Straight Connector 3"/>
                <wp:cNvGraphicFramePr/>
                <a:graphic xmlns:a="http://schemas.openxmlformats.org/drawingml/2006/main">
                  <a:graphicData uri="http://schemas.microsoft.com/office/word/2010/wordprocessingShape">
                    <wps:wsp>
                      <wps:cNvCnPr/>
                      <wps:spPr>
                        <a:xfrm>
                          <a:off x="0" y="0"/>
                          <a:ext cx="2554014"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D6D1595"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24.55pt" to="201.1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" strokecolor="black [3200]" strokeweight="1.5pt">
                <v:stroke joinstyle="miter"/>
                <w10:wrap anchorx="margin"/>
              </v:line>
            </w:pict>
          </mc:Fallback>
        </mc:AlternateContent>
      </w:r>
    </w:p>
    <w:sectPr w:rsidR="00605B4C" w:rsidRPr="003C1024" w:rsidSect="005C771F">
      <w:headerReference w:type="default" r:id="rId7"/>
      <w:pgSz w:w="11906" w:h="16838" w:code="9"/>
      <w:pgMar w:top="1134" w:right="851"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A5916" w14:textId="77777777" w:rsidR="00077FE0" w:rsidRDefault="00077FE0" w:rsidP="005C771F">
      <w:pPr>
        <w:spacing w:before="0"/>
      </w:pPr>
      <w:r>
        <w:separator/>
      </w:r>
    </w:p>
  </w:endnote>
  <w:endnote w:type="continuationSeparator" w:id="0">
    <w:p w14:paraId="17B9727D" w14:textId="77777777" w:rsidR="00077FE0" w:rsidRDefault="00077FE0" w:rsidP="005C771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D3C57" w14:textId="77777777" w:rsidR="00077FE0" w:rsidRDefault="00077FE0" w:rsidP="005C771F">
      <w:pPr>
        <w:spacing w:before="0"/>
      </w:pPr>
      <w:r>
        <w:separator/>
      </w:r>
    </w:p>
  </w:footnote>
  <w:footnote w:type="continuationSeparator" w:id="0">
    <w:p w14:paraId="04548B91" w14:textId="77777777" w:rsidR="00077FE0" w:rsidRDefault="00077FE0" w:rsidP="005C771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755492"/>
      <w:docPartObj>
        <w:docPartGallery w:val="Page Numbers (Top of Page)"/>
        <w:docPartUnique/>
      </w:docPartObj>
    </w:sdtPr>
    <w:sdtContent>
      <w:p w14:paraId="052E1F10" w14:textId="6B693FCE" w:rsidR="005C771F" w:rsidRDefault="005C771F">
        <w:pPr>
          <w:pStyle w:val="Header"/>
          <w:jc w:val="center"/>
        </w:pPr>
        <w:r>
          <w:fldChar w:fldCharType="begin"/>
        </w:r>
        <w:r>
          <w:instrText>PAGE   \* MERGEFORMAT</w:instrText>
        </w:r>
        <w:r>
          <w:fldChar w:fldCharType="separate"/>
        </w:r>
        <w:r>
          <w:rPr>
            <w:lang w:val="vi-VN"/>
          </w:rPr>
          <w:t>2</w:t>
        </w:r>
        <w:r>
          <w:fldChar w:fldCharType="end"/>
        </w:r>
      </w:p>
    </w:sdtContent>
  </w:sdt>
  <w:p w14:paraId="75F5360D" w14:textId="77777777" w:rsidR="005C771F" w:rsidRDefault="005C77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EF"/>
    <w:rsid w:val="00010952"/>
    <w:rsid w:val="00041EFD"/>
    <w:rsid w:val="00077FE0"/>
    <w:rsid w:val="0008044A"/>
    <w:rsid w:val="001237B0"/>
    <w:rsid w:val="001C1804"/>
    <w:rsid w:val="00271E9C"/>
    <w:rsid w:val="0031478E"/>
    <w:rsid w:val="00317966"/>
    <w:rsid w:val="003853F6"/>
    <w:rsid w:val="003C1024"/>
    <w:rsid w:val="003E2A7F"/>
    <w:rsid w:val="004026EF"/>
    <w:rsid w:val="00435AC4"/>
    <w:rsid w:val="00541393"/>
    <w:rsid w:val="00545CF0"/>
    <w:rsid w:val="005C771F"/>
    <w:rsid w:val="00603ECB"/>
    <w:rsid w:val="00605B4C"/>
    <w:rsid w:val="006143D1"/>
    <w:rsid w:val="006A2D68"/>
    <w:rsid w:val="00743672"/>
    <w:rsid w:val="007573C5"/>
    <w:rsid w:val="007849F7"/>
    <w:rsid w:val="007B411E"/>
    <w:rsid w:val="00944881"/>
    <w:rsid w:val="00966F9D"/>
    <w:rsid w:val="00981C86"/>
    <w:rsid w:val="00A340C1"/>
    <w:rsid w:val="00A5074B"/>
    <w:rsid w:val="00AB0D7D"/>
    <w:rsid w:val="00AB6896"/>
    <w:rsid w:val="00AE00FC"/>
    <w:rsid w:val="00BA1476"/>
    <w:rsid w:val="00BF542A"/>
    <w:rsid w:val="00C037A2"/>
    <w:rsid w:val="00C31FEE"/>
    <w:rsid w:val="00D85F31"/>
    <w:rsid w:val="00DA6269"/>
    <w:rsid w:val="00E651B2"/>
    <w:rsid w:val="00EF766E"/>
    <w:rsid w:val="00F614F7"/>
    <w:rsid w:val="00F77750"/>
    <w:rsid w:val="00FF673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01E11"/>
  <w15:chartTrackingRefBased/>
  <w15:docId w15:val="{75415D48-E0D0-4E2D-B655-0AFB3A97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11E"/>
    <w:rPr>
      <w:noProof/>
      <w:lang w:val="en-US"/>
    </w:rPr>
  </w:style>
  <w:style w:type="paragraph" w:styleId="Heading1">
    <w:name w:val="heading 1"/>
    <w:basedOn w:val="Normal"/>
    <w:next w:val="Normal"/>
    <w:link w:val="Heading1Char"/>
    <w:uiPriority w:val="9"/>
    <w:qFormat/>
    <w:rsid w:val="00402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6E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026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026E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026E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26E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26EF"/>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26EF"/>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6E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026E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026E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026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26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26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26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26EF"/>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6E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026E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026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26EF"/>
    <w:rPr>
      <w:i/>
      <w:iCs/>
      <w:color w:val="404040" w:themeColor="text1" w:themeTint="BF"/>
    </w:rPr>
  </w:style>
  <w:style w:type="paragraph" w:styleId="ListParagraph">
    <w:name w:val="List Paragraph"/>
    <w:basedOn w:val="Normal"/>
    <w:uiPriority w:val="34"/>
    <w:qFormat/>
    <w:rsid w:val="004026EF"/>
    <w:pPr>
      <w:ind w:left="720"/>
      <w:contextualSpacing/>
    </w:pPr>
  </w:style>
  <w:style w:type="character" w:styleId="IntenseEmphasis">
    <w:name w:val="Intense Emphasis"/>
    <w:basedOn w:val="DefaultParagraphFont"/>
    <w:uiPriority w:val="21"/>
    <w:qFormat/>
    <w:rsid w:val="004026EF"/>
    <w:rPr>
      <w:i/>
      <w:iCs/>
      <w:color w:val="0F4761" w:themeColor="accent1" w:themeShade="BF"/>
    </w:rPr>
  </w:style>
  <w:style w:type="paragraph" w:styleId="IntenseQuote">
    <w:name w:val="Intense Quote"/>
    <w:basedOn w:val="Normal"/>
    <w:next w:val="Normal"/>
    <w:link w:val="IntenseQuoteChar"/>
    <w:uiPriority w:val="30"/>
    <w:qFormat/>
    <w:rsid w:val="00402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6EF"/>
    <w:rPr>
      <w:i/>
      <w:iCs/>
      <w:color w:val="0F4761" w:themeColor="accent1" w:themeShade="BF"/>
    </w:rPr>
  </w:style>
  <w:style w:type="character" w:styleId="IntenseReference">
    <w:name w:val="Intense Reference"/>
    <w:basedOn w:val="DefaultParagraphFont"/>
    <w:uiPriority w:val="32"/>
    <w:qFormat/>
    <w:rsid w:val="004026EF"/>
    <w:rPr>
      <w:b/>
      <w:bCs/>
      <w:smallCaps/>
      <w:color w:val="0F4761" w:themeColor="accent1" w:themeShade="BF"/>
      <w:spacing w:val="5"/>
    </w:rPr>
  </w:style>
  <w:style w:type="table" w:styleId="TableGrid">
    <w:name w:val="Table Grid"/>
    <w:basedOn w:val="TableNormal"/>
    <w:uiPriority w:val="39"/>
    <w:rsid w:val="00DA626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771F"/>
    <w:pPr>
      <w:tabs>
        <w:tab w:val="center" w:pos="4513"/>
        <w:tab w:val="right" w:pos="9026"/>
      </w:tabs>
      <w:spacing w:before="0"/>
    </w:pPr>
  </w:style>
  <w:style w:type="character" w:customStyle="1" w:styleId="HeaderChar">
    <w:name w:val="Header Char"/>
    <w:basedOn w:val="DefaultParagraphFont"/>
    <w:link w:val="Header"/>
    <w:uiPriority w:val="99"/>
    <w:rsid w:val="005C771F"/>
    <w:rPr>
      <w:noProof/>
      <w:lang w:val="en-US"/>
    </w:rPr>
  </w:style>
  <w:style w:type="paragraph" w:styleId="Footer">
    <w:name w:val="footer"/>
    <w:basedOn w:val="Normal"/>
    <w:link w:val="FooterChar"/>
    <w:uiPriority w:val="99"/>
    <w:unhideWhenUsed/>
    <w:rsid w:val="005C771F"/>
    <w:pPr>
      <w:tabs>
        <w:tab w:val="center" w:pos="4513"/>
        <w:tab w:val="right" w:pos="9026"/>
      </w:tabs>
      <w:spacing w:before="0"/>
    </w:pPr>
  </w:style>
  <w:style w:type="character" w:customStyle="1" w:styleId="FooterChar">
    <w:name w:val="Footer Char"/>
    <w:basedOn w:val="DefaultParagraphFont"/>
    <w:link w:val="Footer"/>
    <w:uiPriority w:val="99"/>
    <w:rsid w:val="005C771F"/>
    <w:rPr>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86182-C33A-4AC2-8E1F-4A6FD63DF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Nong Ly</dc:creator>
  <cp:keywords/>
  <dc:description/>
  <cp:lastModifiedBy>CV03</cp:lastModifiedBy>
  <cp:revision>23</cp:revision>
  <cp:lastPrinted>2026-03-25T02:29:00Z</cp:lastPrinted>
  <dcterms:created xsi:type="dcterms:W3CDTF">2026-03-23T05:40:00Z</dcterms:created>
  <dcterms:modified xsi:type="dcterms:W3CDTF">2026-03-25T07:08:00Z</dcterms:modified>
</cp:coreProperties>
</file>