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6208A" w14:textId="77777777" w:rsidR="00EA6CCF" w:rsidRPr="0083245E" w:rsidRDefault="00916441" w:rsidP="00422A03">
      <w:pPr>
        <w:spacing w:after="0" w:line="240" w:lineRule="auto"/>
        <w:jc w:val="center"/>
        <w:rPr>
          <w:b/>
          <w:spacing w:val="-2"/>
          <w:lang w:val="nl-NL"/>
        </w:rPr>
      </w:pPr>
      <w:r w:rsidRPr="0083245E">
        <w:rPr>
          <w:b/>
          <w:spacing w:val="-2"/>
          <w:lang w:val="nl-NL"/>
        </w:rPr>
        <w:t>BẢNG TỔNG HỢP</w:t>
      </w:r>
      <w:r w:rsidR="008D4523" w:rsidRPr="0083245E">
        <w:rPr>
          <w:b/>
          <w:spacing w:val="-2"/>
          <w:lang w:val="nl-NL"/>
        </w:rPr>
        <w:t xml:space="preserve"> Ý KIẾN</w:t>
      </w:r>
      <w:r w:rsidRPr="0083245E">
        <w:rPr>
          <w:b/>
          <w:spacing w:val="-2"/>
          <w:lang w:val="nl-NL"/>
        </w:rPr>
        <w:t>, TIẾP THU</w:t>
      </w:r>
      <w:r w:rsidR="008D4523" w:rsidRPr="0083245E">
        <w:rPr>
          <w:b/>
          <w:spacing w:val="-2"/>
          <w:lang w:val="nl-NL"/>
        </w:rPr>
        <w:t>, GIẢI TRÌNH</w:t>
      </w:r>
      <w:r w:rsidRPr="0083245E">
        <w:rPr>
          <w:b/>
          <w:spacing w:val="-2"/>
          <w:lang w:val="nl-NL"/>
        </w:rPr>
        <w:t xml:space="preserve"> Ý KIẾN GÓP Ý </w:t>
      </w:r>
      <w:r w:rsidR="00422A03" w:rsidRPr="0083245E">
        <w:rPr>
          <w:b/>
          <w:spacing w:val="-2"/>
          <w:lang w:val="nl-NL"/>
        </w:rPr>
        <w:t xml:space="preserve">CÁC </w:t>
      </w:r>
      <w:r w:rsidR="003515CF" w:rsidRPr="0083245E">
        <w:rPr>
          <w:b/>
          <w:spacing w:val="-2"/>
          <w:lang w:val="nl-NL"/>
        </w:rPr>
        <w:t>CƠ QUAN</w:t>
      </w:r>
    </w:p>
    <w:p w14:paraId="713B12B1" w14:textId="378C0789" w:rsidR="00EA6CCF" w:rsidRPr="0083245E" w:rsidRDefault="00916441" w:rsidP="00422A03">
      <w:pPr>
        <w:spacing w:after="0" w:line="240" w:lineRule="auto"/>
        <w:jc w:val="center"/>
        <w:rPr>
          <w:i/>
          <w:spacing w:val="-2"/>
          <w:lang w:val="nl-NL"/>
        </w:rPr>
      </w:pPr>
      <w:r w:rsidRPr="0083245E">
        <w:rPr>
          <w:i/>
          <w:spacing w:val="-2"/>
          <w:lang w:val="nl-NL"/>
        </w:rPr>
        <w:t xml:space="preserve">(Gửi kèm theo </w:t>
      </w:r>
      <w:r w:rsidR="00A06C01" w:rsidRPr="0083245E">
        <w:rPr>
          <w:i/>
          <w:spacing w:val="-2"/>
          <w:lang w:val="nl-NL"/>
        </w:rPr>
        <w:t xml:space="preserve">Văn bản </w:t>
      </w:r>
      <w:r w:rsidR="002F01E8" w:rsidRPr="0083245E">
        <w:rPr>
          <w:i/>
          <w:spacing w:val="-2"/>
          <w:lang w:val="nl-NL"/>
        </w:rPr>
        <w:t xml:space="preserve">số      </w:t>
      </w:r>
      <w:r w:rsidR="007B2C81">
        <w:rPr>
          <w:i/>
          <w:spacing w:val="-2"/>
          <w:lang w:val="nl-NL"/>
        </w:rPr>
        <w:t xml:space="preserve">   </w:t>
      </w:r>
      <w:bookmarkStart w:id="0" w:name="_GoBack"/>
      <w:bookmarkEnd w:id="0"/>
      <w:r w:rsidR="00D07888" w:rsidRPr="0083245E">
        <w:rPr>
          <w:i/>
          <w:spacing w:val="-2"/>
          <w:lang w:val="nl-NL"/>
        </w:rPr>
        <w:t>/</w:t>
      </w:r>
      <w:r w:rsidR="002F01E8" w:rsidRPr="0083245E">
        <w:rPr>
          <w:i/>
          <w:spacing w:val="-2"/>
          <w:lang w:val="nl-NL"/>
        </w:rPr>
        <w:t>SXD</w:t>
      </w:r>
      <w:r w:rsidR="00A06C01" w:rsidRPr="0083245E">
        <w:rPr>
          <w:i/>
          <w:spacing w:val="-2"/>
          <w:lang w:val="nl-NL"/>
        </w:rPr>
        <w:t>-QLHT</w:t>
      </w:r>
      <w:r w:rsidR="00D07888" w:rsidRPr="0083245E">
        <w:rPr>
          <w:i/>
          <w:spacing w:val="-2"/>
          <w:lang w:val="nl-NL"/>
        </w:rPr>
        <w:t xml:space="preserve"> </w:t>
      </w:r>
      <w:r w:rsidR="008C4A62" w:rsidRPr="0083245E">
        <w:rPr>
          <w:i/>
          <w:spacing w:val="-2"/>
          <w:lang w:val="nl-NL"/>
        </w:rPr>
        <w:t>ngày</w:t>
      </w:r>
      <w:r w:rsidR="00485151" w:rsidRPr="0083245E">
        <w:rPr>
          <w:i/>
          <w:spacing w:val="-2"/>
          <w:lang w:val="nl-NL"/>
        </w:rPr>
        <w:t xml:space="preserve"> </w:t>
      </w:r>
      <w:r w:rsidR="00692E4E" w:rsidRPr="0083245E">
        <w:rPr>
          <w:i/>
          <w:spacing w:val="-2"/>
          <w:lang w:val="nl-NL"/>
        </w:rPr>
        <w:t xml:space="preserve">  </w:t>
      </w:r>
      <w:r w:rsidR="008C4A62" w:rsidRPr="0083245E">
        <w:rPr>
          <w:i/>
          <w:spacing w:val="-2"/>
          <w:lang w:val="nl-NL"/>
        </w:rPr>
        <w:t>/</w:t>
      </w:r>
      <w:r w:rsidR="0061133C">
        <w:rPr>
          <w:i/>
          <w:spacing w:val="-2"/>
          <w:lang w:val="nl-NL"/>
        </w:rPr>
        <w:t>3</w:t>
      </w:r>
      <w:r w:rsidR="00086514" w:rsidRPr="0083245E">
        <w:rPr>
          <w:i/>
          <w:spacing w:val="-2"/>
          <w:lang w:val="nl-NL"/>
        </w:rPr>
        <w:t>/</w:t>
      </w:r>
      <w:r w:rsidRPr="0083245E">
        <w:rPr>
          <w:i/>
          <w:spacing w:val="-2"/>
          <w:lang w:val="nl-NL"/>
        </w:rPr>
        <w:t>202</w:t>
      </w:r>
      <w:r w:rsidR="00A14F76">
        <w:rPr>
          <w:i/>
          <w:spacing w:val="-2"/>
          <w:lang w:val="nl-NL"/>
        </w:rPr>
        <w:t>6</w:t>
      </w:r>
      <w:r w:rsidRPr="0083245E">
        <w:rPr>
          <w:i/>
          <w:spacing w:val="-2"/>
          <w:lang w:val="nl-NL"/>
        </w:rPr>
        <w:t xml:space="preserve"> của Sở Xây dự</w:t>
      </w:r>
      <w:r w:rsidR="00086514" w:rsidRPr="0083245E">
        <w:rPr>
          <w:i/>
          <w:spacing w:val="-2"/>
          <w:lang w:val="nl-NL"/>
        </w:rPr>
        <w:t>ng</w:t>
      </w:r>
      <w:r w:rsidRPr="0083245E">
        <w:rPr>
          <w:i/>
          <w:spacing w:val="-2"/>
          <w:lang w:val="nl-NL"/>
        </w:rPr>
        <w:t>)</w:t>
      </w:r>
    </w:p>
    <w:p w14:paraId="0248F1DD" w14:textId="77777777" w:rsidR="00916441" w:rsidRPr="0083245E" w:rsidRDefault="00916441" w:rsidP="00B87322">
      <w:pPr>
        <w:spacing w:after="0" w:line="240" w:lineRule="auto"/>
        <w:jc w:val="center"/>
        <w:rPr>
          <w:b/>
          <w:spacing w:val="-2"/>
          <w:sz w:val="24"/>
          <w:lang w:val="nl-NL"/>
        </w:rPr>
      </w:pPr>
    </w:p>
    <w:tbl>
      <w:tblPr>
        <w:tblStyle w:val="TableGrid"/>
        <w:tblW w:w="14884" w:type="dxa"/>
        <w:tblInd w:w="108" w:type="dxa"/>
        <w:tblLayout w:type="fixed"/>
        <w:tblLook w:val="04A0" w:firstRow="1" w:lastRow="0" w:firstColumn="1" w:lastColumn="0" w:noHBand="0" w:noVBand="1"/>
      </w:tblPr>
      <w:tblGrid>
        <w:gridCol w:w="567"/>
        <w:gridCol w:w="1134"/>
        <w:gridCol w:w="1985"/>
        <w:gridCol w:w="5812"/>
        <w:gridCol w:w="1134"/>
        <w:gridCol w:w="4252"/>
      </w:tblGrid>
      <w:tr w:rsidR="00032EBF" w:rsidRPr="0083245E" w14:paraId="5C1A705E" w14:textId="77777777" w:rsidTr="00F72C4C">
        <w:tc>
          <w:tcPr>
            <w:tcW w:w="567" w:type="dxa"/>
            <w:vAlign w:val="center"/>
          </w:tcPr>
          <w:p w14:paraId="43734B94" w14:textId="77777777" w:rsidR="00677948" w:rsidRPr="0083245E" w:rsidRDefault="00677948" w:rsidP="00677948">
            <w:pPr>
              <w:jc w:val="center"/>
              <w:rPr>
                <w:b/>
                <w:sz w:val="26"/>
                <w:szCs w:val="26"/>
              </w:rPr>
            </w:pPr>
            <w:r w:rsidRPr="0083245E">
              <w:rPr>
                <w:b/>
                <w:sz w:val="26"/>
                <w:szCs w:val="26"/>
              </w:rPr>
              <w:t>TT</w:t>
            </w:r>
          </w:p>
        </w:tc>
        <w:tc>
          <w:tcPr>
            <w:tcW w:w="1134" w:type="dxa"/>
            <w:vAlign w:val="center"/>
          </w:tcPr>
          <w:p w14:paraId="3927519F" w14:textId="77777777" w:rsidR="00461BA5" w:rsidRPr="0083245E" w:rsidRDefault="00677948" w:rsidP="00677948">
            <w:pPr>
              <w:jc w:val="center"/>
              <w:rPr>
                <w:b/>
                <w:sz w:val="26"/>
                <w:szCs w:val="26"/>
              </w:rPr>
            </w:pPr>
            <w:r w:rsidRPr="0083245E">
              <w:rPr>
                <w:b/>
                <w:sz w:val="26"/>
                <w:szCs w:val="26"/>
              </w:rPr>
              <w:t xml:space="preserve">Cơ quan </w:t>
            </w:r>
          </w:p>
          <w:p w14:paraId="34731DF9" w14:textId="77777777" w:rsidR="00677948" w:rsidRPr="0083245E" w:rsidRDefault="00677948" w:rsidP="00677948">
            <w:pPr>
              <w:jc w:val="center"/>
              <w:rPr>
                <w:b/>
                <w:sz w:val="26"/>
                <w:szCs w:val="26"/>
              </w:rPr>
            </w:pPr>
            <w:r w:rsidRPr="0083245E">
              <w:rPr>
                <w:b/>
                <w:sz w:val="26"/>
                <w:szCs w:val="26"/>
              </w:rPr>
              <w:t>tham gia ý kiến</w:t>
            </w:r>
          </w:p>
        </w:tc>
        <w:tc>
          <w:tcPr>
            <w:tcW w:w="1985" w:type="dxa"/>
            <w:vAlign w:val="center"/>
          </w:tcPr>
          <w:p w14:paraId="3F51B1CC" w14:textId="77777777" w:rsidR="00677948" w:rsidRPr="0083245E" w:rsidRDefault="00677948" w:rsidP="00677948">
            <w:pPr>
              <w:jc w:val="center"/>
              <w:rPr>
                <w:b/>
                <w:sz w:val="26"/>
                <w:szCs w:val="26"/>
              </w:rPr>
            </w:pPr>
            <w:r w:rsidRPr="0083245E">
              <w:rPr>
                <w:b/>
                <w:sz w:val="26"/>
                <w:szCs w:val="26"/>
              </w:rPr>
              <w:t>Số Công văn đến/ ngày, tháng, năm</w:t>
            </w:r>
          </w:p>
        </w:tc>
        <w:tc>
          <w:tcPr>
            <w:tcW w:w="6946" w:type="dxa"/>
            <w:gridSpan w:val="2"/>
            <w:vAlign w:val="center"/>
          </w:tcPr>
          <w:p w14:paraId="3C1EBEDE" w14:textId="77777777" w:rsidR="00677948" w:rsidRPr="0083245E" w:rsidRDefault="00677948" w:rsidP="00677948">
            <w:pPr>
              <w:jc w:val="center"/>
              <w:rPr>
                <w:b/>
                <w:sz w:val="26"/>
                <w:szCs w:val="26"/>
              </w:rPr>
            </w:pPr>
            <w:r w:rsidRPr="0083245E">
              <w:rPr>
                <w:b/>
                <w:sz w:val="26"/>
                <w:szCs w:val="26"/>
              </w:rPr>
              <w:t xml:space="preserve">Nội dung tham gia ý </w:t>
            </w:r>
          </w:p>
          <w:p w14:paraId="028D29BD" w14:textId="77777777" w:rsidR="00677948" w:rsidRPr="0083245E" w:rsidRDefault="00677948" w:rsidP="00677948">
            <w:pPr>
              <w:jc w:val="center"/>
              <w:rPr>
                <w:b/>
                <w:sz w:val="26"/>
                <w:szCs w:val="26"/>
              </w:rPr>
            </w:pPr>
            <w:r w:rsidRPr="0083245E">
              <w:rPr>
                <w:b/>
                <w:sz w:val="26"/>
                <w:szCs w:val="26"/>
              </w:rPr>
              <w:t>kiến đối với dự thảo</w:t>
            </w:r>
          </w:p>
        </w:tc>
        <w:tc>
          <w:tcPr>
            <w:tcW w:w="4252" w:type="dxa"/>
            <w:vAlign w:val="center"/>
          </w:tcPr>
          <w:p w14:paraId="7C86D807" w14:textId="77777777" w:rsidR="00677948" w:rsidRPr="0083245E" w:rsidRDefault="00CD70C0" w:rsidP="002E72CC">
            <w:pPr>
              <w:jc w:val="center"/>
              <w:rPr>
                <w:b/>
                <w:sz w:val="26"/>
                <w:szCs w:val="26"/>
              </w:rPr>
            </w:pPr>
            <w:r w:rsidRPr="0083245E">
              <w:rPr>
                <w:b/>
                <w:sz w:val="26"/>
                <w:szCs w:val="26"/>
              </w:rPr>
              <w:t>Nội dung tiếp thu, giải trình của Sở Xây dựng</w:t>
            </w:r>
          </w:p>
        </w:tc>
      </w:tr>
      <w:tr w:rsidR="00712C38" w:rsidRPr="0083245E" w14:paraId="752FD09C" w14:textId="77777777" w:rsidTr="00694ADF">
        <w:tc>
          <w:tcPr>
            <w:tcW w:w="567" w:type="dxa"/>
            <w:vAlign w:val="center"/>
          </w:tcPr>
          <w:p w14:paraId="7D559F3C" w14:textId="77777777" w:rsidR="00712C38" w:rsidRPr="0083245E" w:rsidRDefault="00712C38" w:rsidP="00677948">
            <w:pPr>
              <w:jc w:val="center"/>
              <w:rPr>
                <w:b/>
                <w:sz w:val="26"/>
                <w:szCs w:val="26"/>
              </w:rPr>
            </w:pPr>
            <w:r w:rsidRPr="0083245E">
              <w:rPr>
                <w:b/>
                <w:sz w:val="26"/>
                <w:szCs w:val="26"/>
              </w:rPr>
              <w:t>I</w:t>
            </w:r>
          </w:p>
        </w:tc>
        <w:tc>
          <w:tcPr>
            <w:tcW w:w="14317" w:type="dxa"/>
            <w:gridSpan w:val="5"/>
            <w:vAlign w:val="center"/>
          </w:tcPr>
          <w:p w14:paraId="58CABFE0" w14:textId="77777777" w:rsidR="00712C38" w:rsidRPr="0083245E" w:rsidRDefault="00712C38" w:rsidP="00712C38">
            <w:pPr>
              <w:rPr>
                <w:b/>
                <w:sz w:val="26"/>
                <w:szCs w:val="26"/>
              </w:rPr>
            </w:pPr>
            <w:r w:rsidRPr="0083245E">
              <w:rPr>
                <w:b/>
                <w:sz w:val="26"/>
                <w:szCs w:val="26"/>
              </w:rPr>
              <w:t>Các cơ quan có ý kiến góp ý</w:t>
            </w:r>
          </w:p>
        </w:tc>
      </w:tr>
      <w:tr w:rsidR="00F72C4C" w:rsidRPr="0083245E" w14:paraId="6F305A18" w14:textId="77777777" w:rsidTr="00CC49A7">
        <w:trPr>
          <w:trHeight w:val="2967"/>
        </w:trPr>
        <w:tc>
          <w:tcPr>
            <w:tcW w:w="567" w:type="dxa"/>
            <w:vMerge w:val="restart"/>
            <w:vAlign w:val="center"/>
          </w:tcPr>
          <w:p w14:paraId="4662E184" w14:textId="77777777" w:rsidR="00F72C4C" w:rsidRPr="00455205" w:rsidRDefault="00F72C4C" w:rsidP="00455205">
            <w:pPr>
              <w:spacing w:after="120"/>
              <w:jc w:val="center"/>
              <w:rPr>
                <w:rFonts w:cs="Times New Roman"/>
                <w:sz w:val="26"/>
                <w:szCs w:val="26"/>
              </w:rPr>
            </w:pPr>
            <w:r w:rsidRPr="00455205">
              <w:rPr>
                <w:rFonts w:cs="Times New Roman"/>
                <w:sz w:val="26"/>
                <w:szCs w:val="26"/>
              </w:rPr>
              <w:t>1</w:t>
            </w:r>
          </w:p>
        </w:tc>
        <w:tc>
          <w:tcPr>
            <w:tcW w:w="1134" w:type="dxa"/>
            <w:vMerge w:val="restart"/>
            <w:vAlign w:val="center"/>
          </w:tcPr>
          <w:p w14:paraId="5A724DB5" w14:textId="77777777" w:rsidR="00F72C4C" w:rsidRPr="00455205" w:rsidRDefault="00F72C4C" w:rsidP="00455205">
            <w:pPr>
              <w:spacing w:after="120"/>
              <w:jc w:val="center"/>
              <w:rPr>
                <w:rFonts w:cs="Times New Roman"/>
                <w:sz w:val="26"/>
                <w:szCs w:val="26"/>
              </w:rPr>
            </w:pPr>
            <w:r w:rsidRPr="00455205">
              <w:rPr>
                <w:rFonts w:cs="Times New Roman"/>
                <w:sz w:val="26"/>
                <w:szCs w:val="26"/>
              </w:rPr>
              <w:t>Sở Tư pháp</w:t>
            </w:r>
          </w:p>
        </w:tc>
        <w:tc>
          <w:tcPr>
            <w:tcW w:w="1985" w:type="dxa"/>
            <w:vMerge w:val="restart"/>
            <w:vAlign w:val="center"/>
          </w:tcPr>
          <w:p w14:paraId="6E1C00E7" w14:textId="35D1D10A" w:rsidR="00F72C4C" w:rsidRPr="00455205" w:rsidRDefault="009865A6" w:rsidP="00455205">
            <w:pPr>
              <w:spacing w:after="120"/>
              <w:jc w:val="center"/>
              <w:rPr>
                <w:rFonts w:cs="Times New Roman"/>
                <w:sz w:val="26"/>
                <w:szCs w:val="26"/>
              </w:rPr>
            </w:pPr>
            <w:r w:rsidRPr="00455205">
              <w:rPr>
                <w:rFonts w:cs="Times New Roman"/>
                <w:sz w:val="26"/>
                <w:szCs w:val="26"/>
              </w:rPr>
              <w:t xml:space="preserve">Công văn số </w:t>
            </w:r>
            <w:r w:rsidR="00F72C4C" w:rsidRPr="00455205">
              <w:rPr>
                <w:rFonts w:cs="Times New Roman"/>
                <w:sz w:val="26"/>
                <w:szCs w:val="26"/>
              </w:rPr>
              <w:t>445/STP-NVI ngày 27/02/2026</w:t>
            </w:r>
          </w:p>
        </w:tc>
        <w:tc>
          <w:tcPr>
            <w:tcW w:w="5812" w:type="dxa"/>
            <w:vAlign w:val="center"/>
          </w:tcPr>
          <w:p w14:paraId="3FF3D08D" w14:textId="77777777" w:rsidR="00A14F76" w:rsidRPr="00455205" w:rsidRDefault="00A14F76" w:rsidP="00A47853">
            <w:pPr>
              <w:spacing w:after="60"/>
              <w:jc w:val="both"/>
              <w:rPr>
                <w:rFonts w:cs="Times New Roman"/>
                <w:b/>
                <w:sz w:val="26"/>
                <w:szCs w:val="26"/>
              </w:rPr>
            </w:pPr>
            <w:r w:rsidRPr="00455205">
              <w:rPr>
                <w:rFonts w:cs="Times New Roman"/>
                <w:b/>
                <w:sz w:val="26"/>
                <w:szCs w:val="26"/>
              </w:rPr>
              <w:t>1. Dự thảo Quyết định của UBND tỉnh</w:t>
            </w:r>
          </w:p>
          <w:p w14:paraId="07947509" w14:textId="77777777" w:rsidR="00A14F76" w:rsidRPr="00455205" w:rsidRDefault="00A14F76" w:rsidP="00A47853">
            <w:pPr>
              <w:spacing w:after="60"/>
              <w:jc w:val="both"/>
              <w:rPr>
                <w:rFonts w:cs="Times New Roman"/>
                <w:bCs/>
                <w:sz w:val="26"/>
                <w:szCs w:val="26"/>
              </w:rPr>
            </w:pPr>
            <w:r w:rsidRPr="00455205">
              <w:rPr>
                <w:rFonts w:cs="Times New Roman"/>
                <w:bCs/>
                <w:sz w:val="26"/>
                <w:szCs w:val="26"/>
              </w:rPr>
              <w:t>1.1. Đề nghị cơ quan soạn thảo xây dựng dự thảo Quyết định theo Mẫu số 20 phụ lục III ban hành kèm theo Nghị định số 187/2025/NĐ-CP ngày 01/7/2025 của Chính phủ, cụ thể:</w:t>
            </w:r>
          </w:p>
          <w:p w14:paraId="655A9C81" w14:textId="77777777" w:rsidR="00A14F76" w:rsidRPr="00455205" w:rsidRDefault="00A14F76" w:rsidP="00A47853">
            <w:pPr>
              <w:spacing w:after="60"/>
              <w:jc w:val="both"/>
              <w:rPr>
                <w:rFonts w:cs="Times New Roman"/>
                <w:bCs/>
                <w:sz w:val="26"/>
                <w:szCs w:val="26"/>
              </w:rPr>
            </w:pPr>
            <w:r w:rsidRPr="00455205">
              <w:rPr>
                <w:rFonts w:cs="Times New Roman"/>
                <w:bCs/>
                <w:sz w:val="26"/>
                <w:szCs w:val="26"/>
              </w:rPr>
              <w:t>- Bỏ cụm từ “UỶ BAN NHÂN DÂN TỈNH LẠNG SƠN” ngay sau tên gọi của dự thảo Quyết định.</w:t>
            </w:r>
          </w:p>
          <w:p w14:paraId="6032F094" w14:textId="77777777" w:rsidR="00A14F76" w:rsidRPr="00455205" w:rsidRDefault="00A14F76" w:rsidP="00A47853">
            <w:pPr>
              <w:spacing w:after="60"/>
              <w:jc w:val="both"/>
              <w:rPr>
                <w:rFonts w:cs="Times New Roman"/>
                <w:bCs/>
                <w:sz w:val="26"/>
                <w:szCs w:val="26"/>
              </w:rPr>
            </w:pPr>
            <w:r w:rsidRPr="00455205">
              <w:rPr>
                <w:rFonts w:cs="Times New Roman"/>
                <w:bCs/>
                <w:sz w:val="26"/>
                <w:szCs w:val="26"/>
              </w:rPr>
              <w:t>- Trình bày phần căn cứ pháp lý ban hành như: “Căn cứ Luật Tổ chức chính quyền địa phương số 72/2025/QH15”.</w:t>
            </w:r>
          </w:p>
          <w:p w14:paraId="1D44574D" w14:textId="77777777" w:rsidR="00A14F76" w:rsidRPr="00455205" w:rsidRDefault="00A14F76" w:rsidP="00A47853">
            <w:pPr>
              <w:spacing w:after="60"/>
              <w:jc w:val="both"/>
              <w:rPr>
                <w:rFonts w:cs="Times New Roman"/>
                <w:bCs/>
                <w:sz w:val="26"/>
                <w:szCs w:val="26"/>
              </w:rPr>
            </w:pPr>
            <w:r w:rsidRPr="00455205">
              <w:rPr>
                <w:rFonts w:cs="Times New Roman"/>
                <w:bCs/>
                <w:sz w:val="26"/>
                <w:szCs w:val="26"/>
              </w:rPr>
              <w:t>1.2. Phần căn cứ pháp lý, đề nghị bỏ các căn cứ pháp lý không phải là căn cứ liên quan trực tiếp đến việc ban hành văn bản như:</w:t>
            </w:r>
          </w:p>
          <w:p w14:paraId="61D5F046" w14:textId="77777777" w:rsidR="00A14F76" w:rsidRPr="00455205" w:rsidRDefault="00A14F76" w:rsidP="00A47853">
            <w:pPr>
              <w:spacing w:after="60"/>
              <w:jc w:val="both"/>
              <w:rPr>
                <w:rFonts w:cs="Times New Roman"/>
                <w:bCs/>
                <w:sz w:val="26"/>
                <w:szCs w:val="26"/>
              </w:rPr>
            </w:pPr>
            <w:r w:rsidRPr="00455205">
              <w:rPr>
                <w:rFonts w:cs="Times New Roman"/>
                <w:bCs/>
                <w:sz w:val="26"/>
                <w:szCs w:val="26"/>
              </w:rPr>
              <w:t>- Luật Ban hành văn bản quy phạm pháp luật số 64/2025/QH15 ngày 19 tháng 02 năm 2025 được sửa đổi, bổ sung bởi Luật số 87/2025/QH15 ngày 25 tháng 6 năm 2025;</w:t>
            </w:r>
          </w:p>
          <w:p w14:paraId="676F9C52" w14:textId="77777777" w:rsidR="00A14F76" w:rsidRPr="00455205" w:rsidRDefault="00A14F76" w:rsidP="00A47853">
            <w:pPr>
              <w:spacing w:after="60"/>
              <w:jc w:val="both"/>
              <w:rPr>
                <w:rFonts w:cs="Times New Roman"/>
                <w:bCs/>
                <w:sz w:val="26"/>
                <w:szCs w:val="26"/>
              </w:rPr>
            </w:pPr>
            <w:r w:rsidRPr="00455205">
              <w:rPr>
                <w:rFonts w:cs="Times New Roman"/>
                <w:bCs/>
                <w:sz w:val="26"/>
                <w:szCs w:val="26"/>
              </w:rPr>
              <w:t>- Nghị định số 78/2025/NĐ-CP ngày 01 tháng 4 năm 2025 quy định chi tiết một số điều và biện pháp để tổ chức, hướng dẫn thi hành Luật Ban hành văn bản quy pháp luật được sửa đổi, bổ sung bởi Nghị định số 187/2025/NĐ-CP ngày 01 tháng 7 năm 2025;</w:t>
            </w:r>
          </w:p>
          <w:p w14:paraId="3FCCEF66" w14:textId="77777777" w:rsidR="00A14F76" w:rsidRPr="00455205" w:rsidRDefault="00A14F76" w:rsidP="00455205">
            <w:pPr>
              <w:spacing w:after="120"/>
              <w:jc w:val="both"/>
              <w:rPr>
                <w:rFonts w:cs="Times New Roman"/>
                <w:bCs/>
                <w:sz w:val="26"/>
                <w:szCs w:val="26"/>
              </w:rPr>
            </w:pPr>
            <w:r w:rsidRPr="00455205">
              <w:rPr>
                <w:rFonts w:cs="Times New Roman"/>
                <w:bCs/>
                <w:sz w:val="26"/>
                <w:szCs w:val="26"/>
              </w:rPr>
              <w:lastRenderedPageBreak/>
              <w:t>- Nghị định số 150/2025/NĐ-CP ngày 12 tháng 6 năm 2025 quy định tổ chức các cơ quan chuyên môn thuộc Ủy ban nhân dân tỉnh, thành phố trực thuộc trung ương và Ủy ban nhân dân xã, phường, đặc khu thuộc tỉnh, thành phố trực thuộc trung ương.</w:t>
            </w:r>
          </w:p>
          <w:p w14:paraId="3408EE54" w14:textId="0150DDF2" w:rsidR="00A14F76" w:rsidRPr="00455205" w:rsidRDefault="00A14F76" w:rsidP="00455205">
            <w:pPr>
              <w:spacing w:after="120"/>
              <w:jc w:val="both"/>
              <w:rPr>
                <w:rFonts w:cs="Times New Roman"/>
                <w:bCs/>
                <w:sz w:val="26"/>
                <w:szCs w:val="26"/>
              </w:rPr>
            </w:pPr>
            <w:r w:rsidRPr="00455205">
              <w:rPr>
                <w:rFonts w:cs="Times New Roman"/>
                <w:bCs/>
                <w:sz w:val="26"/>
                <w:szCs w:val="26"/>
              </w:rPr>
              <w:t>1.3. Điều 2 Dự thảo đang bố cục các nội dung thành các điểm nhưng chưa có các khoản, đề nghị sắp xếp lại theo hướng bố cục trong điều có các khoản, trong khoản có các điểm để phù hợp với thể thức và kỹ thuật trình bày văn bản quy phạm pháp luật.</w:t>
            </w:r>
          </w:p>
          <w:p w14:paraId="55ABD0ED" w14:textId="77777777" w:rsidR="00A14F76" w:rsidRPr="00455205" w:rsidRDefault="00A14F76" w:rsidP="00455205">
            <w:pPr>
              <w:spacing w:after="120"/>
              <w:jc w:val="both"/>
              <w:rPr>
                <w:rFonts w:cs="Times New Roman"/>
                <w:bCs/>
                <w:sz w:val="26"/>
                <w:szCs w:val="26"/>
              </w:rPr>
            </w:pPr>
            <w:r w:rsidRPr="00455205">
              <w:rPr>
                <w:rFonts w:cs="Times New Roman"/>
                <w:bCs/>
                <w:sz w:val="26"/>
                <w:szCs w:val="26"/>
              </w:rPr>
              <w:t>1.4. Điều 3 dự thảo Quyết định quy định “Điều 3. Chánh Văn phòng Ủy ban nhân dân tỉnh; Thủ trưởng các sở, ban, ngành; Chủ tịch Ủy ban nhân dân các xã, phường và các tổ chức, cá nhân có liên quan chịu trách nhiệm thi hành Quyết định này”.</w:t>
            </w:r>
          </w:p>
          <w:p w14:paraId="75184C97" w14:textId="23A4F646" w:rsidR="00A14F76" w:rsidRPr="00455205" w:rsidRDefault="00A14F76" w:rsidP="00455205">
            <w:pPr>
              <w:spacing w:after="120"/>
              <w:jc w:val="both"/>
              <w:rPr>
                <w:rFonts w:cs="Times New Roman"/>
                <w:bCs/>
                <w:sz w:val="26"/>
                <w:szCs w:val="26"/>
              </w:rPr>
            </w:pPr>
            <w:r w:rsidRPr="00455205">
              <w:rPr>
                <w:rFonts w:cs="Times New Roman"/>
                <w:bCs/>
                <w:sz w:val="26"/>
                <w:szCs w:val="26"/>
              </w:rPr>
              <w:t>Đề nghị sửa như sau: “Điều 3. Chánh Văn phòng Ủy ban nhân dân tỉnh; Giám đốc Sở Xây dựng; Thủ trưởng các sở, ban, ngành; Chủ tịch Ủy ban nhân dân các xã, phường và các tổ chức, cá nhân có liên quan chịu trách nhiệm thi</w:t>
            </w:r>
            <w:r w:rsidR="00226D04">
              <w:rPr>
                <w:rFonts w:cs="Times New Roman"/>
                <w:bCs/>
                <w:sz w:val="26"/>
                <w:szCs w:val="26"/>
              </w:rPr>
              <w:t xml:space="preserve"> </w:t>
            </w:r>
            <w:r w:rsidRPr="00455205">
              <w:rPr>
                <w:rFonts w:cs="Times New Roman"/>
                <w:bCs/>
                <w:sz w:val="26"/>
                <w:szCs w:val="26"/>
              </w:rPr>
              <w:t>hành Quyết định này” cho đầy đủ.</w:t>
            </w:r>
          </w:p>
          <w:p w14:paraId="00ABBE2D" w14:textId="77777777" w:rsidR="00F72C4C" w:rsidRDefault="00A14F76" w:rsidP="00455205">
            <w:pPr>
              <w:spacing w:after="120"/>
              <w:jc w:val="both"/>
              <w:rPr>
                <w:rFonts w:cs="Times New Roman"/>
                <w:bCs/>
                <w:sz w:val="26"/>
                <w:szCs w:val="26"/>
              </w:rPr>
            </w:pPr>
            <w:r w:rsidRPr="00455205">
              <w:rPr>
                <w:rFonts w:cs="Times New Roman"/>
                <w:bCs/>
                <w:sz w:val="26"/>
                <w:szCs w:val="26"/>
              </w:rPr>
              <w:t>1.5. Phần nơi nhận, đề nghị sửa các nơi nhận sau cho chính xác: sửa nơi nhận “Như điều 5” thành “Như điều 3”; sửa nơi nhận “Cục Kiểm tra VBQPPL - Bộ Tư pháp” thành “Cục Kiểm tra văn bản và Tổ chức thi hành pháp luật - Bộ Tư pháp”; sửa nơi nhận “Đoàn đại biểu Quốc hội tỉnh” thành “Đại biểu Quốc hội tỉnh”; sửa nơi nhận “Báo Lạng Sơn, Đài PT-TH tỉnh” thành “Báo và PTTH Lạng Sơn”.</w:t>
            </w:r>
          </w:p>
          <w:p w14:paraId="564B670E" w14:textId="5489609B" w:rsidR="00A47853" w:rsidRPr="00455205" w:rsidRDefault="00A47853" w:rsidP="00455205">
            <w:pPr>
              <w:spacing w:after="120"/>
              <w:jc w:val="both"/>
              <w:rPr>
                <w:rFonts w:cs="Times New Roman"/>
                <w:bCs/>
                <w:sz w:val="26"/>
                <w:szCs w:val="26"/>
              </w:rPr>
            </w:pPr>
          </w:p>
        </w:tc>
        <w:tc>
          <w:tcPr>
            <w:tcW w:w="5386" w:type="dxa"/>
            <w:gridSpan w:val="2"/>
          </w:tcPr>
          <w:p w14:paraId="761BCF09" w14:textId="238C159A" w:rsidR="003937C8" w:rsidRPr="003937C8" w:rsidRDefault="003937C8" w:rsidP="00455205">
            <w:pPr>
              <w:spacing w:after="120"/>
              <w:rPr>
                <w:rFonts w:cs="Times New Roman"/>
                <w:b/>
                <w:bCs/>
                <w:sz w:val="26"/>
                <w:szCs w:val="26"/>
              </w:rPr>
            </w:pPr>
            <w:r w:rsidRPr="003937C8">
              <w:rPr>
                <w:rFonts w:cs="Times New Roman"/>
                <w:b/>
                <w:bCs/>
                <w:sz w:val="26"/>
                <w:szCs w:val="26"/>
              </w:rPr>
              <w:lastRenderedPageBreak/>
              <w:t>1. Tiếp thu chỉnh sửa Dự thảo Quyết định của UBND tỉnh</w:t>
            </w:r>
            <w:r>
              <w:rPr>
                <w:rFonts w:cs="Times New Roman"/>
                <w:b/>
                <w:bCs/>
                <w:sz w:val="26"/>
                <w:szCs w:val="26"/>
              </w:rPr>
              <w:t>:</w:t>
            </w:r>
          </w:p>
          <w:p w14:paraId="199450FE" w14:textId="6492FDB4" w:rsidR="00F72C4C" w:rsidRPr="00455205" w:rsidRDefault="00891066" w:rsidP="00455205">
            <w:pPr>
              <w:spacing w:after="120"/>
              <w:rPr>
                <w:rFonts w:cs="Times New Roman"/>
                <w:sz w:val="26"/>
                <w:szCs w:val="26"/>
              </w:rPr>
            </w:pPr>
            <w:r w:rsidRPr="00455205">
              <w:rPr>
                <w:rFonts w:cs="Times New Roman"/>
                <w:sz w:val="26"/>
                <w:szCs w:val="26"/>
              </w:rPr>
              <w:t>1.1. Đã tiếp thu, chỉnh sửa</w:t>
            </w:r>
          </w:p>
          <w:p w14:paraId="0A621C8F" w14:textId="77777777" w:rsidR="00891066" w:rsidRPr="00455205" w:rsidRDefault="00891066" w:rsidP="00455205">
            <w:pPr>
              <w:spacing w:after="120"/>
              <w:rPr>
                <w:rFonts w:cs="Times New Roman"/>
                <w:sz w:val="26"/>
                <w:szCs w:val="26"/>
              </w:rPr>
            </w:pPr>
            <w:r w:rsidRPr="00455205">
              <w:rPr>
                <w:rFonts w:cs="Times New Roman"/>
                <w:sz w:val="26"/>
                <w:szCs w:val="26"/>
              </w:rPr>
              <w:t>1.2. Đã tiếp thu, chỉnh sửa</w:t>
            </w:r>
          </w:p>
          <w:p w14:paraId="78581ED0" w14:textId="77777777" w:rsidR="00891066" w:rsidRPr="00455205" w:rsidRDefault="00891066" w:rsidP="00455205">
            <w:pPr>
              <w:spacing w:after="120"/>
              <w:rPr>
                <w:rFonts w:cs="Times New Roman"/>
                <w:sz w:val="26"/>
                <w:szCs w:val="26"/>
              </w:rPr>
            </w:pPr>
            <w:r w:rsidRPr="00455205">
              <w:rPr>
                <w:rFonts w:cs="Times New Roman"/>
                <w:sz w:val="26"/>
                <w:szCs w:val="26"/>
              </w:rPr>
              <w:t>1.3. Đã tiếp thu, chỉnh sửa</w:t>
            </w:r>
          </w:p>
          <w:p w14:paraId="683CE6D1" w14:textId="49B53E90" w:rsidR="00964CE0" w:rsidRPr="00455205" w:rsidRDefault="00964CE0" w:rsidP="00455205">
            <w:pPr>
              <w:spacing w:after="120"/>
              <w:rPr>
                <w:rFonts w:cs="Times New Roman"/>
                <w:sz w:val="26"/>
                <w:szCs w:val="26"/>
              </w:rPr>
            </w:pPr>
            <w:r w:rsidRPr="00455205">
              <w:rPr>
                <w:rFonts w:cs="Times New Roman"/>
                <w:sz w:val="26"/>
                <w:szCs w:val="26"/>
              </w:rPr>
              <w:t>1.4. Đã tiếp thu, chỉnh sửa</w:t>
            </w:r>
          </w:p>
          <w:p w14:paraId="036FDB7D" w14:textId="038647A3" w:rsidR="00964CE0" w:rsidRPr="00455205" w:rsidRDefault="00964CE0" w:rsidP="00455205">
            <w:pPr>
              <w:spacing w:after="120"/>
              <w:rPr>
                <w:rFonts w:cs="Times New Roman"/>
                <w:sz w:val="26"/>
                <w:szCs w:val="26"/>
              </w:rPr>
            </w:pPr>
            <w:r w:rsidRPr="00455205">
              <w:rPr>
                <w:rFonts w:cs="Times New Roman"/>
                <w:sz w:val="26"/>
                <w:szCs w:val="26"/>
              </w:rPr>
              <w:t>1.5. Đã tiếp thu, chỉnh sửa</w:t>
            </w:r>
          </w:p>
          <w:p w14:paraId="75556627" w14:textId="77777777" w:rsidR="00964CE0" w:rsidRPr="00455205" w:rsidRDefault="00964CE0" w:rsidP="00455205">
            <w:pPr>
              <w:spacing w:after="120"/>
              <w:rPr>
                <w:rFonts w:cs="Times New Roman"/>
                <w:sz w:val="26"/>
                <w:szCs w:val="26"/>
              </w:rPr>
            </w:pPr>
          </w:p>
          <w:p w14:paraId="5F868A61" w14:textId="67A312A9" w:rsidR="00891066" w:rsidRPr="00455205" w:rsidRDefault="00891066" w:rsidP="00455205">
            <w:pPr>
              <w:spacing w:after="120"/>
              <w:rPr>
                <w:rFonts w:cs="Times New Roman"/>
                <w:sz w:val="26"/>
                <w:szCs w:val="26"/>
              </w:rPr>
            </w:pPr>
          </w:p>
          <w:p w14:paraId="25BD6DF7" w14:textId="70EE4EC5" w:rsidR="00891066" w:rsidRPr="00455205" w:rsidRDefault="00891066" w:rsidP="00455205">
            <w:pPr>
              <w:spacing w:after="120"/>
              <w:rPr>
                <w:rFonts w:cs="Times New Roman"/>
                <w:sz w:val="26"/>
                <w:szCs w:val="26"/>
              </w:rPr>
            </w:pPr>
          </w:p>
        </w:tc>
      </w:tr>
      <w:tr w:rsidR="00F72C4C" w:rsidRPr="0083245E" w14:paraId="36128E03" w14:textId="77777777" w:rsidTr="00CC49A7">
        <w:tc>
          <w:tcPr>
            <w:tcW w:w="567" w:type="dxa"/>
            <w:vMerge/>
            <w:vAlign w:val="center"/>
          </w:tcPr>
          <w:p w14:paraId="2CFD41DB" w14:textId="77777777" w:rsidR="00F72C4C" w:rsidRPr="00455205" w:rsidRDefault="00F72C4C" w:rsidP="00455205">
            <w:pPr>
              <w:spacing w:after="120"/>
              <w:jc w:val="center"/>
              <w:rPr>
                <w:rFonts w:cs="Times New Roman"/>
                <w:sz w:val="26"/>
                <w:szCs w:val="26"/>
                <w:highlight w:val="yellow"/>
              </w:rPr>
            </w:pPr>
          </w:p>
        </w:tc>
        <w:tc>
          <w:tcPr>
            <w:tcW w:w="1134" w:type="dxa"/>
            <w:vMerge/>
            <w:vAlign w:val="center"/>
          </w:tcPr>
          <w:p w14:paraId="0AD44135" w14:textId="77777777" w:rsidR="00F72C4C" w:rsidRPr="00455205" w:rsidRDefault="00F72C4C" w:rsidP="00455205">
            <w:pPr>
              <w:spacing w:after="120"/>
              <w:rPr>
                <w:rFonts w:cs="Times New Roman"/>
                <w:sz w:val="26"/>
                <w:szCs w:val="26"/>
                <w:highlight w:val="yellow"/>
              </w:rPr>
            </w:pPr>
          </w:p>
        </w:tc>
        <w:tc>
          <w:tcPr>
            <w:tcW w:w="1985" w:type="dxa"/>
            <w:vMerge/>
            <w:vAlign w:val="center"/>
          </w:tcPr>
          <w:p w14:paraId="0BD64F25" w14:textId="77777777" w:rsidR="00F72C4C" w:rsidRPr="00455205" w:rsidRDefault="00F72C4C" w:rsidP="00455205">
            <w:pPr>
              <w:spacing w:after="120"/>
              <w:rPr>
                <w:rFonts w:cs="Times New Roman"/>
                <w:sz w:val="26"/>
                <w:szCs w:val="26"/>
                <w:highlight w:val="yellow"/>
              </w:rPr>
            </w:pPr>
          </w:p>
        </w:tc>
        <w:tc>
          <w:tcPr>
            <w:tcW w:w="5812" w:type="dxa"/>
          </w:tcPr>
          <w:p w14:paraId="0E82FF57" w14:textId="77777777" w:rsidR="00A14F76" w:rsidRPr="00455205" w:rsidRDefault="00A14F76" w:rsidP="00455205">
            <w:pPr>
              <w:spacing w:after="120"/>
              <w:jc w:val="both"/>
              <w:rPr>
                <w:rFonts w:cs="Times New Roman"/>
                <w:b/>
                <w:sz w:val="26"/>
                <w:szCs w:val="26"/>
              </w:rPr>
            </w:pPr>
            <w:r w:rsidRPr="00455205">
              <w:rPr>
                <w:rFonts w:cs="Times New Roman"/>
                <w:b/>
                <w:sz w:val="26"/>
                <w:szCs w:val="26"/>
              </w:rPr>
              <w:t>2. Bản so sánh thuyết minh nội dung dự thảo</w:t>
            </w:r>
          </w:p>
          <w:p w14:paraId="792D0039" w14:textId="20D16019" w:rsidR="00F72C4C" w:rsidRPr="00455205" w:rsidRDefault="00A14F76" w:rsidP="00455205">
            <w:pPr>
              <w:spacing w:after="120"/>
              <w:jc w:val="both"/>
              <w:rPr>
                <w:rFonts w:cs="Times New Roman"/>
                <w:bCs/>
                <w:sz w:val="26"/>
                <w:szCs w:val="26"/>
              </w:rPr>
            </w:pPr>
            <w:r w:rsidRPr="00455205">
              <w:rPr>
                <w:rFonts w:cs="Times New Roman"/>
                <w:bCs/>
                <w:sz w:val="26"/>
                <w:szCs w:val="26"/>
              </w:rPr>
              <w:t>Đề nghị xây dựng theo đúng Mẫu số 12 phụ lục IV ban hành kèm theo Nghị định số 187/2025/NĐ-CP ngày 01/7/2025 của Chính phủ.</w:t>
            </w:r>
          </w:p>
        </w:tc>
        <w:tc>
          <w:tcPr>
            <w:tcW w:w="5386" w:type="dxa"/>
            <w:gridSpan w:val="2"/>
          </w:tcPr>
          <w:p w14:paraId="78642CAB" w14:textId="0CC4AA6E" w:rsidR="00F72C4C" w:rsidRPr="00455205" w:rsidRDefault="00B9121D" w:rsidP="00455205">
            <w:pPr>
              <w:spacing w:after="120"/>
              <w:jc w:val="both"/>
              <w:rPr>
                <w:rFonts w:cs="Times New Roman"/>
                <w:sz w:val="26"/>
                <w:szCs w:val="26"/>
              </w:rPr>
            </w:pPr>
            <w:r w:rsidRPr="003937C8">
              <w:rPr>
                <w:rFonts w:cs="Times New Roman"/>
                <w:b/>
                <w:bCs/>
                <w:sz w:val="26"/>
                <w:szCs w:val="26"/>
              </w:rPr>
              <w:t>2.</w:t>
            </w:r>
            <w:r w:rsidRPr="00455205">
              <w:rPr>
                <w:rFonts w:cs="Times New Roman"/>
                <w:sz w:val="26"/>
                <w:szCs w:val="26"/>
              </w:rPr>
              <w:t xml:space="preserve"> Đã tiếp thu, chỉnh sửa</w:t>
            </w:r>
          </w:p>
        </w:tc>
      </w:tr>
      <w:tr w:rsidR="00F72C4C" w:rsidRPr="0083245E" w14:paraId="775243A8" w14:textId="77777777" w:rsidTr="00CC49A7">
        <w:tc>
          <w:tcPr>
            <w:tcW w:w="567" w:type="dxa"/>
            <w:vMerge/>
            <w:vAlign w:val="center"/>
          </w:tcPr>
          <w:p w14:paraId="00DEE688" w14:textId="77777777" w:rsidR="00F72C4C" w:rsidRPr="00455205" w:rsidRDefault="00F72C4C" w:rsidP="00455205">
            <w:pPr>
              <w:spacing w:after="120"/>
              <w:jc w:val="center"/>
              <w:rPr>
                <w:rFonts w:cs="Times New Roman"/>
                <w:sz w:val="26"/>
                <w:szCs w:val="26"/>
                <w:highlight w:val="yellow"/>
              </w:rPr>
            </w:pPr>
          </w:p>
        </w:tc>
        <w:tc>
          <w:tcPr>
            <w:tcW w:w="1134" w:type="dxa"/>
            <w:vMerge/>
            <w:vAlign w:val="center"/>
          </w:tcPr>
          <w:p w14:paraId="023E8FEE" w14:textId="77777777" w:rsidR="00F72C4C" w:rsidRPr="00455205" w:rsidRDefault="00F72C4C" w:rsidP="00455205">
            <w:pPr>
              <w:spacing w:after="120"/>
              <w:rPr>
                <w:rFonts w:cs="Times New Roman"/>
                <w:sz w:val="26"/>
                <w:szCs w:val="26"/>
                <w:highlight w:val="yellow"/>
              </w:rPr>
            </w:pPr>
          </w:p>
        </w:tc>
        <w:tc>
          <w:tcPr>
            <w:tcW w:w="1985" w:type="dxa"/>
            <w:vMerge/>
            <w:vAlign w:val="center"/>
          </w:tcPr>
          <w:p w14:paraId="35244A7F" w14:textId="77777777" w:rsidR="00F72C4C" w:rsidRPr="00455205" w:rsidRDefault="00F72C4C" w:rsidP="00455205">
            <w:pPr>
              <w:spacing w:after="120"/>
              <w:rPr>
                <w:rFonts w:cs="Times New Roman"/>
                <w:sz w:val="26"/>
                <w:szCs w:val="26"/>
                <w:highlight w:val="yellow"/>
              </w:rPr>
            </w:pPr>
          </w:p>
        </w:tc>
        <w:tc>
          <w:tcPr>
            <w:tcW w:w="5812" w:type="dxa"/>
          </w:tcPr>
          <w:p w14:paraId="7A3166C0" w14:textId="55C68B80" w:rsidR="00A14F76" w:rsidRPr="00455205" w:rsidRDefault="00A14F76" w:rsidP="00455205">
            <w:pPr>
              <w:spacing w:after="120"/>
              <w:jc w:val="both"/>
              <w:rPr>
                <w:rFonts w:cs="Times New Roman"/>
                <w:b/>
                <w:sz w:val="26"/>
                <w:szCs w:val="26"/>
              </w:rPr>
            </w:pPr>
            <w:r w:rsidRPr="00455205">
              <w:rPr>
                <w:rFonts w:cs="Times New Roman"/>
                <w:b/>
                <w:sz w:val="26"/>
                <w:szCs w:val="26"/>
              </w:rPr>
              <w:t>3. Về thành phần hồ sơ</w:t>
            </w:r>
          </w:p>
          <w:p w14:paraId="683ADBDC" w14:textId="543FC1E5" w:rsidR="00F72C4C" w:rsidRPr="00455205" w:rsidRDefault="00A14F76" w:rsidP="00455205">
            <w:pPr>
              <w:tabs>
                <w:tab w:val="left" w:pos="2517"/>
              </w:tabs>
              <w:spacing w:after="120"/>
              <w:ind w:left="-108" w:right="-1"/>
              <w:jc w:val="both"/>
              <w:rPr>
                <w:rFonts w:cs="Times New Roman"/>
                <w:sz w:val="26"/>
                <w:szCs w:val="26"/>
                <w:lang w:val="pl-PL"/>
              </w:rPr>
            </w:pPr>
            <w:r w:rsidRPr="00455205">
              <w:rPr>
                <w:rFonts w:cs="Times New Roman"/>
                <w:bCs/>
                <w:sz w:val="26"/>
                <w:szCs w:val="26"/>
              </w:rPr>
              <w:t>Nội dung dự thảo Quyết định có quy định về việc phân cấp, đề nghị bổ sung “Bản đánh giá việc phân cấp, thực hiện nhiệm vụ, quyền hạn được phân cấp” cho đầy đủ theo quy định tại điểm c khoản 4 Điều 11 Quyết định số 60/2025/QĐ-UBND ngày 19/8/2025 của Ủy ban nhân dân tỉnh.</w:t>
            </w:r>
          </w:p>
        </w:tc>
        <w:tc>
          <w:tcPr>
            <w:tcW w:w="5386" w:type="dxa"/>
            <w:gridSpan w:val="2"/>
          </w:tcPr>
          <w:p w14:paraId="351164BC" w14:textId="6E4E6125" w:rsidR="00F72C4C" w:rsidRPr="00455205" w:rsidRDefault="00B9121D" w:rsidP="00455205">
            <w:pPr>
              <w:spacing w:after="120"/>
              <w:jc w:val="both"/>
              <w:rPr>
                <w:rFonts w:cs="Times New Roman"/>
                <w:bCs/>
                <w:sz w:val="26"/>
                <w:szCs w:val="26"/>
              </w:rPr>
            </w:pPr>
            <w:r w:rsidRPr="003937C8">
              <w:rPr>
                <w:rFonts w:cs="Times New Roman"/>
                <w:b/>
                <w:sz w:val="26"/>
                <w:szCs w:val="26"/>
              </w:rPr>
              <w:t>3.</w:t>
            </w:r>
            <w:r w:rsidRPr="00455205">
              <w:rPr>
                <w:rFonts w:cs="Times New Roman"/>
                <w:bCs/>
                <w:sz w:val="26"/>
                <w:szCs w:val="26"/>
              </w:rPr>
              <w:t xml:space="preserve"> </w:t>
            </w:r>
            <w:r w:rsidR="002230B7" w:rsidRPr="00455205">
              <w:rPr>
                <w:rFonts w:cs="Times New Roman"/>
                <w:bCs/>
                <w:sz w:val="26"/>
                <w:szCs w:val="26"/>
              </w:rPr>
              <w:t>Đã tiếp thu, hoàn thiện bổ sung</w:t>
            </w:r>
          </w:p>
        </w:tc>
      </w:tr>
      <w:tr w:rsidR="009607CB" w:rsidRPr="0083245E" w14:paraId="54704028" w14:textId="77777777" w:rsidTr="00CC49A7">
        <w:tc>
          <w:tcPr>
            <w:tcW w:w="567" w:type="dxa"/>
            <w:vMerge w:val="restart"/>
            <w:vAlign w:val="center"/>
          </w:tcPr>
          <w:p w14:paraId="29FA6930" w14:textId="77777777" w:rsidR="009607CB" w:rsidRPr="00455205" w:rsidRDefault="009607CB" w:rsidP="00455205">
            <w:pPr>
              <w:spacing w:after="120"/>
              <w:jc w:val="center"/>
              <w:rPr>
                <w:rFonts w:cs="Times New Roman"/>
                <w:sz w:val="26"/>
                <w:szCs w:val="26"/>
              </w:rPr>
            </w:pPr>
            <w:r w:rsidRPr="00455205">
              <w:rPr>
                <w:rFonts w:cs="Times New Roman"/>
                <w:sz w:val="26"/>
                <w:szCs w:val="26"/>
              </w:rPr>
              <w:t>2</w:t>
            </w:r>
          </w:p>
        </w:tc>
        <w:tc>
          <w:tcPr>
            <w:tcW w:w="1134" w:type="dxa"/>
            <w:vMerge w:val="restart"/>
            <w:vAlign w:val="center"/>
          </w:tcPr>
          <w:p w14:paraId="06A2124F" w14:textId="1915FCE3" w:rsidR="009607CB" w:rsidRPr="00455205" w:rsidRDefault="009607CB" w:rsidP="00455205">
            <w:pPr>
              <w:spacing w:after="120"/>
              <w:jc w:val="center"/>
              <w:rPr>
                <w:rFonts w:cs="Times New Roman"/>
                <w:sz w:val="26"/>
                <w:szCs w:val="26"/>
              </w:rPr>
            </w:pPr>
            <w:r w:rsidRPr="00455205">
              <w:rPr>
                <w:rFonts w:cs="Times New Roman"/>
                <w:sz w:val="26"/>
                <w:szCs w:val="26"/>
              </w:rPr>
              <w:t>Sở Nội vụ</w:t>
            </w:r>
          </w:p>
        </w:tc>
        <w:tc>
          <w:tcPr>
            <w:tcW w:w="1985" w:type="dxa"/>
            <w:vMerge w:val="restart"/>
            <w:vAlign w:val="center"/>
          </w:tcPr>
          <w:p w14:paraId="7B935C5D" w14:textId="4D592F49" w:rsidR="009607CB" w:rsidRPr="00455205" w:rsidRDefault="009607CB" w:rsidP="00455205">
            <w:pPr>
              <w:spacing w:after="120"/>
              <w:jc w:val="center"/>
              <w:rPr>
                <w:rFonts w:cs="Times New Roman"/>
                <w:sz w:val="26"/>
                <w:szCs w:val="26"/>
              </w:rPr>
            </w:pPr>
            <w:r w:rsidRPr="00455205">
              <w:rPr>
                <w:rFonts w:cs="Times New Roman"/>
                <w:sz w:val="26"/>
                <w:szCs w:val="26"/>
              </w:rPr>
              <w:t>Công văn số 470/SNV-TCBC ngày 25/02/2026</w:t>
            </w:r>
          </w:p>
          <w:p w14:paraId="12A51933" w14:textId="63CF1868" w:rsidR="009607CB" w:rsidRPr="00455205" w:rsidRDefault="009607CB" w:rsidP="00455205">
            <w:pPr>
              <w:spacing w:after="120"/>
              <w:rPr>
                <w:rFonts w:cs="Times New Roman"/>
                <w:sz w:val="26"/>
                <w:szCs w:val="26"/>
              </w:rPr>
            </w:pPr>
          </w:p>
        </w:tc>
        <w:tc>
          <w:tcPr>
            <w:tcW w:w="5812" w:type="dxa"/>
          </w:tcPr>
          <w:p w14:paraId="47A99155" w14:textId="77777777" w:rsidR="009607CB" w:rsidRPr="00455205" w:rsidRDefault="009607CB" w:rsidP="00455205">
            <w:pPr>
              <w:pStyle w:val="NormalWeb"/>
              <w:spacing w:before="0" w:beforeAutospacing="0" w:after="120" w:afterAutospacing="0"/>
              <w:jc w:val="both"/>
              <w:rPr>
                <w:b/>
                <w:bCs/>
                <w:sz w:val="26"/>
                <w:szCs w:val="26"/>
              </w:rPr>
            </w:pPr>
            <w:r w:rsidRPr="00455205">
              <w:rPr>
                <w:b/>
                <w:bCs/>
                <w:sz w:val="26"/>
                <w:szCs w:val="26"/>
              </w:rPr>
              <w:t xml:space="preserve">1. Đối với dự thảo Quyết định: </w:t>
            </w:r>
          </w:p>
          <w:p w14:paraId="010F3B3E" w14:textId="77777777" w:rsidR="009607CB" w:rsidRPr="00455205" w:rsidRDefault="009607CB" w:rsidP="00455205">
            <w:pPr>
              <w:pStyle w:val="NormalWeb"/>
              <w:spacing w:before="0" w:beforeAutospacing="0" w:after="120" w:afterAutospacing="0"/>
              <w:jc w:val="both"/>
              <w:rPr>
                <w:sz w:val="26"/>
                <w:szCs w:val="26"/>
              </w:rPr>
            </w:pPr>
            <w:r w:rsidRPr="00455205">
              <w:rPr>
                <w:sz w:val="26"/>
                <w:szCs w:val="26"/>
              </w:rPr>
              <w:t>- Tại các căn cứ Luật Tổ chức chính quyền địa phương, Luật Ban hành văn bản quy phạm pháp luật, Luật Đất đai: đề nghị bỏ ngày, tháng, năm ban hành văn bản để đảm bảo theo đúng quy định tại Nghị định số 78/2025/NĐ-CP ngày 01/4/2025 quy định chi tiết một số điều và biện pháp để tổ chức, hướng dẫn thi hành Luật Ban hành văn bản quy phạm luật được sửa đổi, bổ sung bởi Nghị định số 187/2025/NĐ-CP ngày 01/7/2025.</w:t>
            </w:r>
          </w:p>
          <w:p w14:paraId="4083CBEE" w14:textId="77777777" w:rsidR="009607CB" w:rsidRPr="00455205" w:rsidRDefault="009607CB" w:rsidP="00455205">
            <w:pPr>
              <w:pStyle w:val="NormalWeb"/>
              <w:spacing w:before="0" w:beforeAutospacing="0" w:after="120" w:afterAutospacing="0"/>
              <w:jc w:val="both"/>
              <w:rPr>
                <w:sz w:val="26"/>
                <w:szCs w:val="26"/>
              </w:rPr>
            </w:pPr>
            <w:r w:rsidRPr="00455205">
              <w:rPr>
                <w:sz w:val="26"/>
                <w:szCs w:val="26"/>
              </w:rPr>
              <w:t xml:space="preserve"> - Tại phần nơi nhận: </w:t>
            </w:r>
          </w:p>
          <w:p w14:paraId="1628AF7D" w14:textId="77777777" w:rsidR="009607CB" w:rsidRPr="00455205" w:rsidRDefault="009607CB" w:rsidP="00455205">
            <w:pPr>
              <w:pStyle w:val="NormalWeb"/>
              <w:spacing w:before="0" w:beforeAutospacing="0" w:after="120" w:afterAutospacing="0"/>
              <w:jc w:val="both"/>
              <w:rPr>
                <w:sz w:val="26"/>
                <w:szCs w:val="26"/>
              </w:rPr>
            </w:pPr>
            <w:r w:rsidRPr="00455205">
              <w:rPr>
                <w:sz w:val="26"/>
                <w:szCs w:val="26"/>
              </w:rPr>
              <w:t xml:space="preserve">+ Đề nghị sửa “Như Điều 5” thành “Như Điều 3”. </w:t>
            </w:r>
          </w:p>
          <w:p w14:paraId="245753E2" w14:textId="27932108" w:rsidR="009607CB" w:rsidRPr="00455205" w:rsidRDefault="009607CB" w:rsidP="00455205">
            <w:pPr>
              <w:pStyle w:val="NormalWeb"/>
              <w:spacing w:before="0" w:beforeAutospacing="0" w:after="120" w:afterAutospacing="0"/>
              <w:jc w:val="both"/>
              <w:rPr>
                <w:sz w:val="26"/>
                <w:szCs w:val="26"/>
              </w:rPr>
            </w:pPr>
            <w:r w:rsidRPr="00455205">
              <w:rPr>
                <w:sz w:val="26"/>
                <w:szCs w:val="26"/>
              </w:rPr>
              <w:t xml:space="preserve">+ Đề nghị rà soát, sửa lại tên một số cơ quan, đơn vị cho đảm bảo theo đúng quy định. </w:t>
            </w:r>
          </w:p>
        </w:tc>
        <w:tc>
          <w:tcPr>
            <w:tcW w:w="5386" w:type="dxa"/>
            <w:gridSpan w:val="2"/>
          </w:tcPr>
          <w:p w14:paraId="4539C610" w14:textId="3FE00718" w:rsidR="009607CB" w:rsidRPr="00455205" w:rsidRDefault="009607CB" w:rsidP="00455205">
            <w:pPr>
              <w:pStyle w:val="ListParagraph"/>
              <w:spacing w:after="120"/>
              <w:ind w:left="0"/>
              <w:jc w:val="both"/>
              <w:rPr>
                <w:rFonts w:cs="Times New Roman"/>
                <w:b/>
                <w:sz w:val="26"/>
                <w:szCs w:val="26"/>
              </w:rPr>
            </w:pPr>
            <w:r w:rsidRPr="003937C8">
              <w:rPr>
                <w:rFonts w:cs="Times New Roman"/>
                <w:b/>
                <w:bCs/>
                <w:sz w:val="26"/>
                <w:szCs w:val="26"/>
              </w:rPr>
              <w:t>1.</w:t>
            </w:r>
            <w:r w:rsidRPr="00455205">
              <w:rPr>
                <w:rFonts w:cs="Times New Roman"/>
                <w:sz w:val="26"/>
                <w:szCs w:val="26"/>
              </w:rPr>
              <w:t xml:space="preserve"> Đã tiếp thu, chỉnh sửa</w:t>
            </w:r>
          </w:p>
        </w:tc>
      </w:tr>
      <w:tr w:rsidR="009607CB" w:rsidRPr="0083245E" w14:paraId="051412E2" w14:textId="77777777" w:rsidTr="00CC49A7">
        <w:tc>
          <w:tcPr>
            <w:tcW w:w="567" w:type="dxa"/>
            <w:vMerge/>
            <w:vAlign w:val="center"/>
          </w:tcPr>
          <w:p w14:paraId="11ADFB94" w14:textId="77777777" w:rsidR="009607CB" w:rsidRPr="00455205" w:rsidRDefault="009607CB" w:rsidP="00455205">
            <w:pPr>
              <w:spacing w:after="120"/>
              <w:jc w:val="center"/>
              <w:rPr>
                <w:rFonts w:cs="Times New Roman"/>
                <w:sz w:val="26"/>
                <w:szCs w:val="26"/>
              </w:rPr>
            </w:pPr>
          </w:p>
        </w:tc>
        <w:tc>
          <w:tcPr>
            <w:tcW w:w="1134" w:type="dxa"/>
            <w:vMerge/>
            <w:vAlign w:val="center"/>
          </w:tcPr>
          <w:p w14:paraId="5A9929F1" w14:textId="77777777" w:rsidR="009607CB" w:rsidRPr="00455205" w:rsidRDefault="009607CB" w:rsidP="00455205">
            <w:pPr>
              <w:spacing w:after="120"/>
              <w:jc w:val="center"/>
              <w:rPr>
                <w:rFonts w:cs="Times New Roman"/>
                <w:sz w:val="26"/>
                <w:szCs w:val="26"/>
              </w:rPr>
            </w:pPr>
          </w:p>
        </w:tc>
        <w:tc>
          <w:tcPr>
            <w:tcW w:w="1985" w:type="dxa"/>
            <w:vMerge/>
            <w:vAlign w:val="center"/>
          </w:tcPr>
          <w:p w14:paraId="40EADFD6" w14:textId="77777777" w:rsidR="009607CB" w:rsidRPr="00455205" w:rsidRDefault="009607CB" w:rsidP="00455205">
            <w:pPr>
              <w:spacing w:after="120"/>
              <w:jc w:val="center"/>
              <w:rPr>
                <w:rFonts w:cs="Times New Roman"/>
                <w:sz w:val="26"/>
                <w:szCs w:val="26"/>
              </w:rPr>
            </w:pPr>
          </w:p>
        </w:tc>
        <w:tc>
          <w:tcPr>
            <w:tcW w:w="5812" w:type="dxa"/>
          </w:tcPr>
          <w:p w14:paraId="231012E9" w14:textId="77777777" w:rsidR="005912FD" w:rsidRPr="00455205" w:rsidRDefault="009607CB" w:rsidP="00455205">
            <w:pPr>
              <w:pStyle w:val="NormalWeb"/>
              <w:spacing w:before="0" w:beforeAutospacing="0" w:after="120" w:afterAutospacing="0"/>
              <w:jc w:val="both"/>
              <w:rPr>
                <w:sz w:val="26"/>
                <w:szCs w:val="26"/>
              </w:rPr>
            </w:pPr>
            <w:r w:rsidRPr="00455205">
              <w:rPr>
                <w:b/>
                <w:bCs/>
                <w:sz w:val="26"/>
                <w:szCs w:val="26"/>
              </w:rPr>
              <w:t>2. Đối với dự thảo Quy định ban hành kèm theo Quyết định:</w:t>
            </w:r>
            <w:r w:rsidRPr="00455205">
              <w:rPr>
                <w:sz w:val="26"/>
                <w:szCs w:val="26"/>
              </w:rPr>
              <w:t xml:space="preserve"> </w:t>
            </w:r>
          </w:p>
          <w:p w14:paraId="0D99F40E" w14:textId="3AB2390E" w:rsidR="009607CB" w:rsidRPr="00455205" w:rsidRDefault="009607CB" w:rsidP="00455205">
            <w:pPr>
              <w:pStyle w:val="NormalWeb"/>
              <w:spacing w:before="0" w:beforeAutospacing="0" w:after="120" w:afterAutospacing="0"/>
              <w:jc w:val="both"/>
              <w:rPr>
                <w:sz w:val="26"/>
                <w:szCs w:val="26"/>
              </w:rPr>
            </w:pPr>
            <w:r w:rsidRPr="00455205">
              <w:rPr>
                <w:sz w:val="26"/>
                <w:szCs w:val="26"/>
              </w:rPr>
              <w:t>Tại khoản 4, Điều 27 Nghị định số 258/2025/NĐ-CP ngày 09/10/2025 của Chính phủ về quản lý công viên, cây xanh, mặt nước, quy định: “Ủy ban nhân dân cấp tỉnh có trách nhiệm phân cấp cho cơ quan chuyên môn về công viên, cây xanh trực thuộc và Ủy ban nhân dân cấp xã thực hiện cấp giấy phép chặt hạ, dịch chuyển cây xanh trên địa bàn tỉnh phù hợp với quy định của pháp luật về tổ chức chính quyền địa phương”. Tại khoản 1, Điều 45 Nghị định số 258/2025/NĐ-CP, quy định trách nhiệm của Ủy ban nhân dân cấp tỉnh như sau: “... phân công, phân cấp quản lý công viên, cây xanh, mặt nước trên địa bàn cho cơ quan chuyên môn trực thuộc và Ủy ban nhân dân các cấp theo quy định của Nghị định này và quy định của pháp luật về tổ chức chính quyền địa phương”. Theo dự thảo, Sở Xây dựng tham mưu UBND tỉnh phân cấp cho Ban Quản lý Khu kinh tế cửa khẩu Đồng Đăng - Lạng Sơn thực hiện cấp giấy phép chặt hạ, dịch chuyển cây xanh.... Tuy nhiên, Ban Quản lý Khu kinh tế cửa khẩu Đồng Đăng - Lạng Sơn không phải là cơ quan chuyên môn trực thuộc UBND tỉnh theo Nghị định số 150/2025/NĐ-CP ngày 12/6/2025; do đó, đề nghị cơ quan soạn thảo tiếp tục nghiên cứu, xem xét sự phù hợp khi tham mưu UBND tỉnh phân cấp cho Ban Quản lý Khu kinh tế cửa khẩu Đồng Đăng - Lạng Sơn thực hiện cấp giấy phép chặt hạ, dịch chuyển cây xanh...</w:t>
            </w:r>
          </w:p>
        </w:tc>
        <w:tc>
          <w:tcPr>
            <w:tcW w:w="5386" w:type="dxa"/>
            <w:gridSpan w:val="2"/>
          </w:tcPr>
          <w:p w14:paraId="6634725C" w14:textId="548EF6F5" w:rsidR="009607CB" w:rsidRPr="00455205" w:rsidRDefault="009607CB" w:rsidP="00455205">
            <w:pPr>
              <w:pStyle w:val="NormalWeb"/>
              <w:spacing w:after="120" w:line="300" w:lineRule="exact"/>
              <w:jc w:val="both"/>
              <w:rPr>
                <w:b/>
                <w:bCs/>
                <w:sz w:val="26"/>
                <w:szCs w:val="26"/>
              </w:rPr>
            </w:pPr>
            <w:r w:rsidRPr="00455205">
              <w:rPr>
                <w:b/>
                <w:bCs/>
                <w:sz w:val="26"/>
                <w:szCs w:val="26"/>
              </w:rPr>
              <w:t>2. Đề nghị giữ nguyên theo</w:t>
            </w:r>
            <w:r w:rsidR="000567B5" w:rsidRPr="00455205">
              <w:rPr>
                <w:b/>
                <w:bCs/>
                <w:sz w:val="26"/>
                <w:szCs w:val="26"/>
              </w:rPr>
              <w:t xml:space="preserve"> nội dung</w:t>
            </w:r>
            <w:r w:rsidRPr="00455205">
              <w:rPr>
                <w:b/>
                <w:bCs/>
                <w:sz w:val="26"/>
                <w:szCs w:val="26"/>
              </w:rPr>
              <w:t xml:space="preserve"> dự thảo</w:t>
            </w:r>
            <w:r w:rsidR="00897EAF" w:rsidRPr="00455205">
              <w:rPr>
                <w:b/>
                <w:bCs/>
                <w:sz w:val="26"/>
                <w:szCs w:val="26"/>
              </w:rPr>
              <w:t xml:space="preserve"> và giải trình như sau:</w:t>
            </w:r>
            <w:r w:rsidR="00BB4079" w:rsidRPr="00455205">
              <w:rPr>
                <w:sz w:val="26"/>
                <w:szCs w:val="26"/>
              </w:rPr>
              <w:t xml:space="preserve"> </w:t>
            </w:r>
            <w:r w:rsidR="00A27A56" w:rsidRPr="00455205">
              <w:rPr>
                <w:sz w:val="26"/>
                <w:szCs w:val="26"/>
              </w:rPr>
              <w:t>Theo Quyết định số 29/2023/QĐ-UBND ngày 31/12/2023 (sửa đổi bởi Quyết định số 58/2024/QĐ-UBND ngày 19/12/2024) của UBND tỉnh Lạng Sơn, Ban Quản lý Khu kinh tế cửa khẩu Đồng Đăng - Lạng Sơn (Sau đây gọi tắt là Ban) là cơ quan quản lý nhà nước trực thuộc UBND tỉnh, có tư cách pháp nhân, con dấu, tài khoản riêng. Ban thực hiện nhiệm vụ, quyền hạn của cơ quan chuyên môn thuộc UBND tỉnh khi được phân cấp, ủy quyền theo quy định tại (khoản 2 Điều 1 Quyết định số 29/2023/QĐ-UBND) Nghị định số Nghị định 35/2022/NĐ-CP và quy định khác của pháp luật liên quan</w:t>
            </w:r>
            <w:r w:rsidR="009B2091" w:rsidRPr="00455205">
              <w:rPr>
                <w:sz w:val="26"/>
                <w:szCs w:val="26"/>
              </w:rPr>
              <w:t xml:space="preserve"> (Nghị định 35/2022/NĐ-CP đã được sửa đổi bổ sung một số điều tại Nghị định 178/2025/NĐ-CP)</w:t>
            </w:r>
            <w:r w:rsidR="00A27A56" w:rsidRPr="00455205">
              <w:rPr>
                <w:sz w:val="26"/>
                <w:szCs w:val="26"/>
              </w:rPr>
              <w:t xml:space="preserve">. Việc Phân cấp chỉ giới hạn trong Khu kinh tế cửa khẩu Đồng Đăng - Lạng Sơn (các khu chức năng, khu công nghiệp, cửa khẩu được giao), nơi Ban có thẩm quyền trực tiếp về quy hoạch xây dựng, quản lý đất đai, bảo vệ môi trường và duy trì hạ tầng (Điều 2 khoản 1, 3, 4 Quyết định 29/2023). </w:t>
            </w:r>
            <w:r w:rsidR="009B2091" w:rsidRPr="00455205">
              <w:rPr>
                <w:sz w:val="26"/>
                <w:szCs w:val="26"/>
              </w:rPr>
              <w:t xml:space="preserve">Do </w:t>
            </w:r>
            <w:r w:rsidR="00A27A56" w:rsidRPr="00455205">
              <w:rPr>
                <w:sz w:val="26"/>
                <w:szCs w:val="26"/>
              </w:rPr>
              <w:t>Cây xanh là</w:t>
            </w:r>
            <w:r w:rsidR="009B2091" w:rsidRPr="00455205">
              <w:rPr>
                <w:sz w:val="26"/>
                <w:szCs w:val="26"/>
              </w:rPr>
              <w:t xml:space="preserve"> một</w:t>
            </w:r>
            <w:r w:rsidR="00A27A56" w:rsidRPr="00455205">
              <w:rPr>
                <w:sz w:val="26"/>
                <w:szCs w:val="26"/>
              </w:rPr>
              <w:t xml:space="preserve"> phần của hạ tầng kỹ thuật, cảnh quan và môi trường, phù hợp với nguyên tắc phân cấp theo Nghị định 258/2025/NĐ-CP</w:t>
            </w:r>
            <w:r w:rsidR="009B2091" w:rsidRPr="00455205">
              <w:rPr>
                <w:sz w:val="26"/>
                <w:szCs w:val="26"/>
              </w:rPr>
              <w:t xml:space="preserve"> do đó việc phân cấp là phù hợp để nâng cao hiệu quả quản lý nhà nước tại địa phương, đặc biệt với khu vực có tính đặc thù như khu kinh tế cửa khẩu.</w:t>
            </w:r>
          </w:p>
        </w:tc>
      </w:tr>
      <w:tr w:rsidR="003F4787" w:rsidRPr="0083245E" w14:paraId="439884F6" w14:textId="77777777" w:rsidTr="00CC49A7">
        <w:tc>
          <w:tcPr>
            <w:tcW w:w="567" w:type="dxa"/>
            <w:vAlign w:val="center"/>
          </w:tcPr>
          <w:p w14:paraId="4DF34A9D" w14:textId="2F5CE8C4" w:rsidR="003F4787" w:rsidRPr="00455205" w:rsidRDefault="003F4787" w:rsidP="00455205">
            <w:pPr>
              <w:spacing w:after="120"/>
              <w:jc w:val="center"/>
              <w:rPr>
                <w:rFonts w:cs="Times New Roman"/>
                <w:sz w:val="26"/>
                <w:szCs w:val="26"/>
              </w:rPr>
            </w:pPr>
            <w:r w:rsidRPr="00455205">
              <w:rPr>
                <w:rFonts w:cs="Times New Roman"/>
                <w:sz w:val="26"/>
                <w:szCs w:val="26"/>
              </w:rPr>
              <w:t>4</w:t>
            </w:r>
          </w:p>
        </w:tc>
        <w:tc>
          <w:tcPr>
            <w:tcW w:w="1134" w:type="dxa"/>
            <w:vAlign w:val="center"/>
          </w:tcPr>
          <w:p w14:paraId="098237CA" w14:textId="1A5A7EA6" w:rsidR="003F4787" w:rsidRPr="00455205" w:rsidRDefault="003F4787" w:rsidP="00455205">
            <w:pPr>
              <w:spacing w:after="120"/>
              <w:jc w:val="center"/>
              <w:rPr>
                <w:rFonts w:cs="Times New Roman"/>
                <w:sz w:val="26"/>
                <w:szCs w:val="26"/>
              </w:rPr>
            </w:pPr>
            <w:r w:rsidRPr="00455205">
              <w:rPr>
                <w:rFonts w:cs="Times New Roman"/>
                <w:sz w:val="26"/>
                <w:szCs w:val="26"/>
              </w:rPr>
              <w:t>Sở Nông nghiệp và Môi trường</w:t>
            </w:r>
          </w:p>
        </w:tc>
        <w:tc>
          <w:tcPr>
            <w:tcW w:w="1985" w:type="dxa"/>
            <w:vAlign w:val="center"/>
          </w:tcPr>
          <w:p w14:paraId="1CB958CF" w14:textId="77777777" w:rsidR="003F4787" w:rsidRPr="00455205" w:rsidRDefault="003F4787" w:rsidP="00455205">
            <w:pPr>
              <w:spacing w:before="120" w:after="120" w:line="400" w:lineRule="exact"/>
              <w:jc w:val="center"/>
              <w:rPr>
                <w:rFonts w:cs="Times New Roman"/>
                <w:sz w:val="26"/>
                <w:szCs w:val="26"/>
              </w:rPr>
            </w:pPr>
            <w:r w:rsidRPr="00455205">
              <w:rPr>
                <w:rFonts w:cs="Times New Roman"/>
                <w:sz w:val="26"/>
                <w:szCs w:val="26"/>
              </w:rPr>
              <w:t>Công văn số 891/SNNMT-MTKS ngày 27/02/2026</w:t>
            </w:r>
          </w:p>
          <w:p w14:paraId="63A2F02F" w14:textId="77777777" w:rsidR="003F4787" w:rsidRPr="00455205" w:rsidRDefault="003F4787" w:rsidP="00455205">
            <w:pPr>
              <w:spacing w:after="120"/>
              <w:jc w:val="center"/>
              <w:rPr>
                <w:rFonts w:cs="Times New Roman"/>
                <w:sz w:val="26"/>
                <w:szCs w:val="26"/>
              </w:rPr>
            </w:pPr>
          </w:p>
        </w:tc>
        <w:tc>
          <w:tcPr>
            <w:tcW w:w="5812" w:type="dxa"/>
          </w:tcPr>
          <w:p w14:paraId="14F1FFA1" w14:textId="6329B0AB" w:rsidR="003F4787" w:rsidRPr="00455205" w:rsidRDefault="004E7884" w:rsidP="00455205">
            <w:pPr>
              <w:spacing w:line="280" w:lineRule="exact"/>
              <w:jc w:val="both"/>
              <w:rPr>
                <w:rFonts w:cs="Times New Roman"/>
                <w:b/>
                <w:bCs/>
                <w:color w:val="000000"/>
                <w:spacing w:val="-2"/>
                <w:sz w:val="26"/>
                <w:szCs w:val="26"/>
              </w:rPr>
            </w:pPr>
            <w:r w:rsidRPr="00455205">
              <w:rPr>
                <w:rFonts w:cs="Times New Roman"/>
                <w:b/>
                <w:bCs/>
                <w:color w:val="000000"/>
                <w:spacing w:val="-2"/>
                <w:sz w:val="26"/>
                <w:szCs w:val="26"/>
              </w:rPr>
              <w:t>1</w:t>
            </w:r>
            <w:r w:rsidR="003F4787" w:rsidRPr="00455205">
              <w:rPr>
                <w:rFonts w:cs="Times New Roman"/>
                <w:b/>
                <w:bCs/>
                <w:color w:val="000000"/>
                <w:spacing w:val="-2"/>
                <w:sz w:val="26"/>
                <w:szCs w:val="26"/>
              </w:rPr>
              <w:t xml:space="preserve">. Đối với dự thảo Quyết định: </w:t>
            </w:r>
          </w:p>
          <w:p w14:paraId="4A8D7A63" w14:textId="207BBAD3" w:rsidR="003F4787" w:rsidRPr="00455205" w:rsidRDefault="00226D04" w:rsidP="00455205">
            <w:pPr>
              <w:spacing w:line="280" w:lineRule="exact"/>
              <w:jc w:val="both"/>
              <w:rPr>
                <w:rFonts w:cs="Times New Roman"/>
                <w:color w:val="000000"/>
                <w:spacing w:val="-2"/>
                <w:sz w:val="26"/>
                <w:szCs w:val="26"/>
              </w:rPr>
            </w:pPr>
            <w:r w:rsidRPr="00226D04">
              <w:rPr>
                <w:rFonts w:cs="Times New Roman"/>
                <w:b/>
                <w:bCs/>
                <w:color w:val="000000"/>
                <w:spacing w:val="-2"/>
                <w:sz w:val="26"/>
                <w:szCs w:val="26"/>
              </w:rPr>
              <w:t>1.1.</w:t>
            </w:r>
            <w:r w:rsidR="003F4787" w:rsidRPr="00455205">
              <w:rPr>
                <w:rFonts w:cs="Times New Roman"/>
                <w:color w:val="000000"/>
                <w:spacing w:val="-2"/>
                <w:sz w:val="26"/>
                <w:szCs w:val="26"/>
              </w:rPr>
              <w:t xml:space="preserve"> Tại khoản 2 Điều 3 của dự thảo quy định: “2. Ủy ban nhân dân các xã, phường (sau đây viết là cấp xã) quản lý công viên, cây xanh, mặt nước trên địa bàn quản lý...” xem xét chỉnh sửa cụm từ in đậm nghiêng như sau “2. Ủy ban nhân dân các xã, phường (sau đây viết là Ủy ban nhân dân cấp xã) quản lý công viên, cây xanh, mặt nước trên địa bàn quản lý...” </w:t>
            </w:r>
          </w:p>
          <w:p w14:paraId="11249B7A" w14:textId="58296922" w:rsidR="003F4787" w:rsidRPr="00455205" w:rsidRDefault="00226D04" w:rsidP="00455205">
            <w:pPr>
              <w:spacing w:after="120"/>
              <w:jc w:val="both"/>
              <w:rPr>
                <w:rFonts w:cs="Times New Roman"/>
                <w:color w:val="000000"/>
                <w:spacing w:val="-2"/>
                <w:sz w:val="26"/>
                <w:szCs w:val="26"/>
              </w:rPr>
            </w:pPr>
            <w:r w:rsidRPr="00226D04">
              <w:rPr>
                <w:rFonts w:cs="Times New Roman"/>
                <w:b/>
                <w:bCs/>
                <w:color w:val="000000"/>
                <w:spacing w:val="-2"/>
                <w:sz w:val="26"/>
                <w:szCs w:val="26"/>
              </w:rPr>
              <w:t>1.2.</w:t>
            </w:r>
            <w:r w:rsidR="003F4787" w:rsidRPr="00455205">
              <w:rPr>
                <w:rFonts w:cs="Times New Roman"/>
                <w:color w:val="000000"/>
                <w:spacing w:val="-2"/>
                <w:sz w:val="26"/>
                <w:szCs w:val="26"/>
              </w:rPr>
              <w:t xml:space="preserve"> Tại khoản 3, Điều 5 của dự thảo Quy định: + Tại điểm “b) Kiểm tra, hướng dẫn chế độ quản lý, bảo vệ cây xanh thuộc danh mục loài thực vật nguy cấp, quý, hiếm; kiểm dịch thực vật đối với cây xanh nhập khẩu.” đề nghị lược bỏ nội dung “kiểm dịch thực vật đối với cây xanh nhập khẩu”. Lý do: việc kiểm dịch thực vật đối với cây xanh nhập khẩu không thuộc chức năng, nhiệm vụ quản lý của Sở Nông nghiệp và Môi trường, nội dung nêu trên thuộc chức năng, nhiệm vụ của Chi cục Kiểm dịch thực vật vùng VII. </w:t>
            </w:r>
          </w:p>
          <w:p w14:paraId="562F1DCF" w14:textId="4778DDA0" w:rsidR="003F4787" w:rsidRPr="00455205" w:rsidRDefault="00226D04" w:rsidP="00455205">
            <w:pPr>
              <w:spacing w:after="120"/>
              <w:jc w:val="both"/>
              <w:rPr>
                <w:rFonts w:cs="Times New Roman"/>
                <w:color w:val="000000"/>
                <w:spacing w:val="-2"/>
                <w:sz w:val="26"/>
                <w:szCs w:val="26"/>
              </w:rPr>
            </w:pPr>
            <w:r w:rsidRPr="00226D04">
              <w:rPr>
                <w:rFonts w:cs="Times New Roman"/>
                <w:b/>
                <w:bCs/>
                <w:color w:val="000000"/>
                <w:spacing w:val="-2"/>
                <w:sz w:val="26"/>
                <w:szCs w:val="26"/>
              </w:rPr>
              <w:t>1.3.</w:t>
            </w:r>
            <w:r>
              <w:rPr>
                <w:rFonts w:cs="Times New Roman"/>
                <w:color w:val="000000"/>
                <w:spacing w:val="-2"/>
                <w:sz w:val="26"/>
                <w:szCs w:val="26"/>
              </w:rPr>
              <w:t xml:space="preserve"> </w:t>
            </w:r>
            <w:r w:rsidR="003F4787" w:rsidRPr="00455205">
              <w:rPr>
                <w:rFonts w:cs="Times New Roman"/>
                <w:color w:val="000000"/>
                <w:spacing w:val="-2"/>
                <w:sz w:val="26"/>
                <w:szCs w:val="26"/>
              </w:rPr>
              <w:t>Xem xét góp nội dung tại điểm “d) Tổ chức theo dõi, đánh giá tác động của các dự án đầu tư phát triển công viên, cây xanh đối với việc hấp thụ lượng các-bon phát thải” và điểm “đ. Tổ chức đánh giá lượng tín chỉ các-bon thu được từ công viên, cây xanh trên địa bàn” đề nghị gộp thành điểm d và điều chỉnh nội dung như sau “d. Tham mưu công tác triển khai phát triển thị trường các-bon khi có hướng dẫn của cơ quan nhà nước có thẩm quyền.” Lý do: Hiện nay các bộ, ngành trung ương đang trong quá trình hoàn thiện, tham mưu cấp có thẩm quyền ban hành cơ chế, chính sách có liên quan về tín chỉ carbon, sau khi có hướng dẫn chi tiết mới có cơ sở tham mưu triển khai thực hiện.</w:t>
            </w:r>
          </w:p>
          <w:p w14:paraId="7CE536ED" w14:textId="77777777" w:rsidR="003F4787" w:rsidRPr="00455205" w:rsidRDefault="003F4787" w:rsidP="00455205">
            <w:pPr>
              <w:pStyle w:val="NormalWeb"/>
              <w:spacing w:before="0" w:beforeAutospacing="0" w:after="120" w:afterAutospacing="0"/>
              <w:jc w:val="both"/>
              <w:rPr>
                <w:b/>
                <w:bCs/>
                <w:sz w:val="26"/>
                <w:szCs w:val="26"/>
              </w:rPr>
            </w:pPr>
          </w:p>
        </w:tc>
        <w:tc>
          <w:tcPr>
            <w:tcW w:w="5386" w:type="dxa"/>
            <w:gridSpan w:val="2"/>
          </w:tcPr>
          <w:p w14:paraId="45E0C9D8" w14:textId="3E437B55" w:rsidR="003937C8" w:rsidRPr="003937C8" w:rsidRDefault="003937C8" w:rsidP="003937C8">
            <w:pPr>
              <w:spacing w:line="280" w:lineRule="exact"/>
              <w:jc w:val="both"/>
              <w:rPr>
                <w:rFonts w:cs="Times New Roman"/>
                <w:b/>
                <w:bCs/>
                <w:color w:val="000000"/>
                <w:spacing w:val="-2"/>
                <w:sz w:val="26"/>
                <w:szCs w:val="26"/>
              </w:rPr>
            </w:pPr>
            <w:r w:rsidRPr="00455205">
              <w:rPr>
                <w:rFonts w:cs="Times New Roman"/>
                <w:b/>
                <w:bCs/>
                <w:color w:val="000000"/>
                <w:spacing w:val="-2"/>
                <w:sz w:val="26"/>
                <w:szCs w:val="26"/>
              </w:rPr>
              <w:t xml:space="preserve">1. </w:t>
            </w:r>
            <w:r>
              <w:rPr>
                <w:rFonts w:cs="Times New Roman"/>
                <w:b/>
                <w:bCs/>
                <w:color w:val="000000"/>
                <w:spacing w:val="-2"/>
                <w:sz w:val="26"/>
                <w:szCs w:val="26"/>
              </w:rPr>
              <w:t xml:space="preserve">Tiếp thu chỉnh sửa </w:t>
            </w:r>
            <w:r w:rsidRPr="00455205">
              <w:rPr>
                <w:rFonts w:cs="Times New Roman"/>
                <w:b/>
                <w:bCs/>
                <w:color w:val="000000"/>
                <w:spacing w:val="-2"/>
                <w:sz w:val="26"/>
                <w:szCs w:val="26"/>
              </w:rPr>
              <w:t xml:space="preserve">dự thảo Quyết định: </w:t>
            </w:r>
          </w:p>
          <w:p w14:paraId="3997EFE2" w14:textId="4911AB2D" w:rsidR="00226D04" w:rsidRPr="00455205" w:rsidRDefault="004E7884" w:rsidP="003937C8">
            <w:pPr>
              <w:pStyle w:val="NormalWeb"/>
              <w:spacing w:before="0" w:beforeAutospacing="0" w:after="0" w:afterAutospacing="0" w:line="280" w:lineRule="exact"/>
              <w:jc w:val="both"/>
              <w:rPr>
                <w:i/>
                <w:iCs/>
                <w:color w:val="000000"/>
                <w:spacing w:val="-2"/>
                <w:sz w:val="26"/>
                <w:szCs w:val="26"/>
              </w:rPr>
            </w:pPr>
            <w:r w:rsidRPr="00455205">
              <w:rPr>
                <w:b/>
                <w:bCs/>
                <w:sz w:val="26"/>
                <w:szCs w:val="26"/>
              </w:rPr>
              <w:t>1</w:t>
            </w:r>
            <w:r w:rsidR="00897EAF" w:rsidRPr="00455205">
              <w:rPr>
                <w:b/>
                <w:bCs/>
                <w:sz w:val="26"/>
                <w:szCs w:val="26"/>
              </w:rPr>
              <w:t>.1.</w:t>
            </w:r>
            <w:r w:rsidR="00897EAF" w:rsidRPr="00455205">
              <w:rPr>
                <w:sz w:val="26"/>
                <w:szCs w:val="26"/>
              </w:rPr>
              <w:t xml:space="preserve"> Đã tiếp thu, chỉnh sửa cụm từ “…</w:t>
            </w:r>
            <w:r w:rsidR="00897EAF" w:rsidRPr="00455205">
              <w:rPr>
                <w:i/>
                <w:iCs/>
                <w:color w:val="000000"/>
                <w:spacing w:val="-2"/>
                <w:sz w:val="26"/>
                <w:szCs w:val="26"/>
              </w:rPr>
              <w:t xml:space="preserve">sau đây viết là cấp xã…” </w:t>
            </w:r>
            <w:r w:rsidR="00897EAF" w:rsidRPr="00455205">
              <w:rPr>
                <w:color w:val="000000"/>
                <w:spacing w:val="-2"/>
                <w:sz w:val="26"/>
                <w:szCs w:val="26"/>
              </w:rPr>
              <w:t xml:space="preserve">thành cụm từ </w:t>
            </w:r>
            <w:r w:rsidR="00897EAF" w:rsidRPr="00455205">
              <w:rPr>
                <w:sz w:val="26"/>
                <w:szCs w:val="26"/>
              </w:rPr>
              <w:t>“…</w:t>
            </w:r>
            <w:r w:rsidR="00897EAF" w:rsidRPr="00455205">
              <w:rPr>
                <w:i/>
                <w:iCs/>
                <w:color w:val="000000"/>
                <w:spacing w:val="-2"/>
                <w:sz w:val="26"/>
                <w:szCs w:val="26"/>
              </w:rPr>
              <w:t>sau đây viết là Uỷ ban nhân dân cấp xã…”</w:t>
            </w:r>
          </w:p>
          <w:p w14:paraId="64E18A8F" w14:textId="22069C31" w:rsidR="00897EAF" w:rsidRPr="00455205" w:rsidRDefault="004E7884" w:rsidP="003937C8">
            <w:pPr>
              <w:pStyle w:val="NormalWeb"/>
              <w:spacing w:before="0" w:beforeAutospacing="0" w:after="0" w:afterAutospacing="0" w:line="280" w:lineRule="exact"/>
              <w:jc w:val="both"/>
              <w:rPr>
                <w:i/>
                <w:iCs/>
                <w:color w:val="000000"/>
                <w:spacing w:val="-2"/>
                <w:sz w:val="26"/>
                <w:szCs w:val="26"/>
              </w:rPr>
            </w:pPr>
            <w:r w:rsidRPr="00455205">
              <w:rPr>
                <w:b/>
                <w:bCs/>
                <w:color w:val="000000"/>
                <w:spacing w:val="-2"/>
                <w:sz w:val="26"/>
                <w:szCs w:val="26"/>
              </w:rPr>
              <w:t>1</w:t>
            </w:r>
            <w:r w:rsidR="00897EAF" w:rsidRPr="00455205">
              <w:rPr>
                <w:b/>
                <w:bCs/>
                <w:color w:val="000000"/>
                <w:spacing w:val="-2"/>
                <w:sz w:val="26"/>
                <w:szCs w:val="26"/>
              </w:rPr>
              <w:t>.2</w:t>
            </w:r>
            <w:r w:rsidR="00897EAF" w:rsidRPr="00455205">
              <w:rPr>
                <w:b/>
                <w:bCs/>
                <w:i/>
                <w:iCs/>
                <w:color w:val="000000"/>
                <w:spacing w:val="-2"/>
                <w:sz w:val="26"/>
                <w:szCs w:val="26"/>
              </w:rPr>
              <w:t>.</w:t>
            </w:r>
            <w:r w:rsidR="00897EAF" w:rsidRPr="00455205">
              <w:rPr>
                <w:i/>
                <w:iCs/>
                <w:color w:val="000000"/>
                <w:spacing w:val="-2"/>
                <w:sz w:val="26"/>
                <w:szCs w:val="26"/>
              </w:rPr>
              <w:t xml:space="preserve"> </w:t>
            </w:r>
            <w:r w:rsidR="00897EAF" w:rsidRPr="00455205">
              <w:rPr>
                <w:sz w:val="26"/>
                <w:szCs w:val="26"/>
              </w:rPr>
              <w:t xml:space="preserve">Đã tiếp thu, chỉnh sửa </w:t>
            </w:r>
            <w:r w:rsidR="00897EAF" w:rsidRPr="00455205">
              <w:rPr>
                <w:color w:val="000000"/>
                <w:spacing w:val="-2"/>
                <w:sz w:val="26"/>
                <w:szCs w:val="26"/>
              </w:rPr>
              <w:t xml:space="preserve">lược bỏ nội dung </w:t>
            </w:r>
            <w:r w:rsidR="00897EAF" w:rsidRPr="00455205">
              <w:rPr>
                <w:i/>
                <w:iCs/>
                <w:color w:val="000000"/>
                <w:spacing w:val="-2"/>
                <w:sz w:val="26"/>
                <w:szCs w:val="26"/>
              </w:rPr>
              <w:t xml:space="preserve">“kiểm dịch thực vật đối với cây xanh nhập khẩu” </w:t>
            </w:r>
            <w:r w:rsidR="00897EAF" w:rsidRPr="00455205">
              <w:rPr>
                <w:color w:val="000000"/>
                <w:spacing w:val="-2"/>
                <w:sz w:val="26"/>
                <w:szCs w:val="26"/>
              </w:rPr>
              <w:t>để đảm bảo phù hợp với chức năng, nhiệm vụ quản lý của Sở Nông nghiệp và Môi trường</w:t>
            </w:r>
            <w:r w:rsidR="00862F6C" w:rsidRPr="00455205">
              <w:rPr>
                <w:color w:val="000000"/>
                <w:spacing w:val="-2"/>
                <w:sz w:val="26"/>
                <w:szCs w:val="26"/>
              </w:rPr>
              <w:t>.</w:t>
            </w:r>
          </w:p>
          <w:p w14:paraId="16C1F8C6" w14:textId="4864175B" w:rsidR="00897EAF" w:rsidRPr="00455205" w:rsidRDefault="004E7884" w:rsidP="00455205">
            <w:pPr>
              <w:pStyle w:val="NormalWeb"/>
              <w:spacing w:before="0" w:beforeAutospacing="0" w:after="120" w:afterAutospacing="0" w:line="340" w:lineRule="exact"/>
              <w:jc w:val="both"/>
              <w:rPr>
                <w:sz w:val="26"/>
                <w:szCs w:val="26"/>
              </w:rPr>
            </w:pPr>
            <w:r w:rsidRPr="00455205">
              <w:rPr>
                <w:b/>
                <w:bCs/>
                <w:sz w:val="26"/>
                <w:szCs w:val="26"/>
              </w:rPr>
              <w:t>1</w:t>
            </w:r>
            <w:r w:rsidR="00897EAF" w:rsidRPr="00455205">
              <w:rPr>
                <w:b/>
                <w:bCs/>
                <w:sz w:val="26"/>
                <w:szCs w:val="26"/>
              </w:rPr>
              <w:t xml:space="preserve">.3. </w:t>
            </w:r>
            <w:r w:rsidR="00D76EF3" w:rsidRPr="00455205">
              <w:rPr>
                <w:b/>
                <w:bCs/>
                <w:sz w:val="26"/>
                <w:szCs w:val="26"/>
              </w:rPr>
              <w:t xml:space="preserve">Cơ quan soạn thảo </w:t>
            </w:r>
            <w:r w:rsidR="00897EAF" w:rsidRPr="00455205">
              <w:rPr>
                <w:b/>
                <w:bCs/>
                <w:sz w:val="26"/>
                <w:szCs w:val="26"/>
              </w:rPr>
              <w:t>giải trình như sau:</w:t>
            </w:r>
            <w:r w:rsidR="00897EAF" w:rsidRPr="00455205">
              <w:rPr>
                <w:sz w:val="26"/>
                <w:szCs w:val="26"/>
              </w:rPr>
              <w:t xml:space="preserve"> </w:t>
            </w:r>
            <w:r w:rsidR="00D76EF3" w:rsidRPr="00455205">
              <w:rPr>
                <w:sz w:val="26"/>
                <w:szCs w:val="26"/>
              </w:rPr>
              <w:t>02</w:t>
            </w:r>
            <w:r w:rsidR="00897EAF" w:rsidRPr="00455205">
              <w:rPr>
                <w:sz w:val="26"/>
                <w:szCs w:val="26"/>
              </w:rPr>
              <w:t xml:space="preserve"> điểm trong dự thảo tập trung vào việc tổ chức theo dõi, đánh giá tác động của dự án đầu tư công viên, cây xanh đối với hấp thụ carbon (điểm d) và đánh giá lượng tín chỉ carbon thu được từ công viên, cây xanh trên địa bàn (điểm đ). Đây là các nhiệm vụ cụ thể, phù hợp với trách nhiệm quản lý nhà nước về môi trường, lâm nghiệp và đô thị theo Luật Bảo vệ môi trường năm 2020 (</w:t>
            </w:r>
            <w:r w:rsidR="00CC49A7" w:rsidRPr="00455205">
              <w:rPr>
                <w:sz w:val="26"/>
                <w:szCs w:val="26"/>
              </w:rPr>
              <w:t xml:space="preserve">đã được </w:t>
            </w:r>
            <w:r w:rsidR="00897EAF" w:rsidRPr="00455205">
              <w:rPr>
                <w:sz w:val="26"/>
                <w:szCs w:val="26"/>
              </w:rPr>
              <w:t>sửa đổi, bổ sung</w:t>
            </w:r>
            <w:r w:rsidR="00CC49A7" w:rsidRPr="00455205">
              <w:rPr>
                <w:sz w:val="26"/>
                <w:szCs w:val="26"/>
              </w:rPr>
              <w:t xml:space="preserve"> một số điều tại Luật trong lĩnh vực Nông nghiệp và Môi trường 2025 có hiệu lực từ ngày 01/01/2026). Hiện nay cơ chế chính sách về tín chỉ carbon </w:t>
            </w:r>
            <w:r w:rsidR="004600C7">
              <w:rPr>
                <w:sz w:val="26"/>
                <w:szCs w:val="26"/>
              </w:rPr>
              <w:t xml:space="preserve">cơ bản </w:t>
            </w:r>
            <w:r w:rsidR="00CC49A7" w:rsidRPr="00455205">
              <w:rPr>
                <w:sz w:val="26"/>
                <w:szCs w:val="26"/>
              </w:rPr>
              <w:t xml:space="preserve">đã hoàn thiện </w:t>
            </w:r>
            <w:r w:rsidR="004600C7">
              <w:rPr>
                <w:sz w:val="26"/>
                <w:szCs w:val="26"/>
              </w:rPr>
              <w:t xml:space="preserve">và </w:t>
            </w:r>
            <w:r w:rsidR="00CC49A7" w:rsidRPr="00455205">
              <w:rPr>
                <w:sz w:val="26"/>
                <w:szCs w:val="26"/>
              </w:rPr>
              <w:t xml:space="preserve">có hiệu lực thi hành từ năm 2026 gồm: Nghị định số 29/2026/NĐ-CP ngày 19/01/2026 của Chính phủ về sàn giao dịch carbon trong nước, </w:t>
            </w:r>
            <w:r w:rsidR="00822DC3" w:rsidRPr="00455205">
              <w:rPr>
                <w:sz w:val="26"/>
                <w:szCs w:val="26"/>
              </w:rPr>
              <w:t>quy định về các hoạt động liên quan đến sàn giao dịch các-bon trong nước, bao gồm đăng ký, cấp mã trong nước, chuyển quyền sở hữu, lưu ký, giao dịch và thanh toán giao dịch hạn ngạch phát thải khí nhà kính, tín chỉ các-bon đủ điều kiện được giao dịch</w:t>
            </w:r>
            <w:r w:rsidR="00B84B1D" w:rsidRPr="00455205">
              <w:rPr>
                <w:sz w:val="26"/>
                <w:szCs w:val="26"/>
              </w:rPr>
              <w:t>…</w:t>
            </w:r>
            <w:r w:rsidR="00CC49A7" w:rsidRPr="00455205">
              <w:rPr>
                <w:sz w:val="26"/>
                <w:szCs w:val="26"/>
              </w:rPr>
              <w:t xml:space="preserve">; Thông tư số 11/2026/TT-BNNMT của Bộ Nông nghiệp và Môi trường, </w:t>
            </w:r>
            <w:r w:rsidR="00822DC3" w:rsidRPr="00455205">
              <w:rPr>
                <w:sz w:val="26"/>
                <w:szCs w:val="26"/>
              </w:rPr>
              <w:t>quy định về việc quản lý, vận hành Hệ thống đăng ký quốc gia về hạn ngạch phát thải khí nhà kính và tín chỉ các-bon</w:t>
            </w:r>
            <w:r w:rsidR="00CC49A7" w:rsidRPr="00455205">
              <w:rPr>
                <w:sz w:val="26"/>
                <w:szCs w:val="26"/>
              </w:rPr>
              <w:t>, cho phép giao dịch chuyển nhượng, vay mượn và sử dụng tín chỉ carbon để bù trừ phát thải</w:t>
            </w:r>
            <w:r w:rsidR="00B84B1D" w:rsidRPr="00455205">
              <w:rPr>
                <w:sz w:val="26"/>
                <w:szCs w:val="26"/>
              </w:rPr>
              <w:t>…</w:t>
            </w:r>
          </w:p>
          <w:p w14:paraId="105D27FB" w14:textId="1AD53BF2" w:rsidR="00093998" w:rsidRPr="003937C8" w:rsidRDefault="00093998" w:rsidP="00455205">
            <w:pPr>
              <w:pStyle w:val="NormalWeb"/>
              <w:spacing w:before="0" w:beforeAutospacing="0" w:after="120" w:afterAutospacing="0" w:line="320" w:lineRule="exact"/>
              <w:jc w:val="both"/>
              <w:rPr>
                <w:color w:val="000000"/>
                <w:spacing w:val="-2"/>
                <w:sz w:val="26"/>
                <w:szCs w:val="26"/>
              </w:rPr>
            </w:pPr>
            <w:r w:rsidRPr="003937C8">
              <w:rPr>
                <w:sz w:val="26"/>
                <w:szCs w:val="26"/>
              </w:rPr>
              <w:t>- Trên cơ sở nội dung nêu trên</w:t>
            </w:r>
            <w:r w:rsidR="004600C7" w:rsidRPr="003937C8">
              <w:rPr>
                <w:sz w:val="26"/>
                <w:szCs w:val="26"/>
              </w:rPr>
              <w:t xml:space="preserve"> cơ quan soạn thảo </w:t>
            </w:r>
            <w:r w:rsidRPr="003937C8">
              <w:rPr>
                <w:sz w:val="26"/>
                <w:szCs w:val="26"/>
              </w:rPr>
              <w:t>điều chỉnh điểm d và điểm đ</w:t>
            </w:r>
            <w:r w:rsidR="00F3178B" w:rsidRPr="003937C8">
              <w:rPr>
                <w:sz w:val="26"/>
                <w:szCs w:val="26"/>
              </w:rPr>
              <w:t xml:space="preserve"> khoản 3 Điều 5 </w:t>
            </w:r>
            <w:r w:rsidR="00F3178B" w:rsidRPr="003937C8">
              <w:rPr>
                <w:color w:val="000000"/>
                <w:spacing w:val="-2"/>
                <w:sz w:val="26"/>
                <w:szCs w:val="26"/>
              </w:rPr>
              <w:t>dự thảo Quy định như sau:</w:t>
            </w:r>
          </w:p>
          <w:p w14:paraId="042FEF73" w14:textId="7E4BCAA1" w:rsidR="00F3178B" w:rsidRPr="00455205" w:rsidRDefault="00F3178B" w:rsidP="00455205">
            <w:pPr>
              <w:pStyle w:val="NormalWeb"/>
              <w:spacing w:before="0" w:beforeAutospacing="0" w:after="120" w:afterAutospacing="0" w:line="320" w:lineRule="exact"/>
              <w:jc w:val="both"/>
              <w:rPr>
                <w:color w:val="000000"/>
                <w:spacing w:val="-2"/>
                <w:sz w:val="26"/>
                <w:szCs w:val="26"/>
              </w:rPr>
            </w:pPr>
            <w:r w:rsidRPr="00455205">
              <w:rPr>
                <w:color w:val="000000"/>
                <w:spacing w:val="-2"/>
                <w:sz w:val="26"/>
                <w:szCs w:val="26"/>
              </w:rPr>
              <w:t xml:space="preserve">d) Tổ chức theo dõi, đánh giá tác động của các dự án đầu tư phát triển công viên, cây xanh đối với việc hấp thụ lượng các-bon phát thải </w:t>
            </w:r>
            <w:r w:rsidRPr="00455205">
              <w:rPr>
                <w:b/>
                <w:bCs/>
                <w:color w:val="000000"/>
                <w:spacing w:val="-2"/>
                <w:sz w:val="26"/>
                <w:szCs w:val="26"/>
              </w:rPr>
              <w:t>theo hướng dẫn của cơ quan nhà nước có thẩm quyền</w:t>
            </w:r>
            <w:r w:rsidRPr="00455205">
              <w:rPr>
                <w:color w:val="000000"/>
                <w:spacing w:val="-2"/>
                <w:sz w:val="26"/>
                <w:szCs w:val="26"/>
              </w:rPr>
              <w:t>.</w:t>
            </w:r>
          </w:p>
          <w:p w14:paraId="00792BF8" w14:textId="2BCB41DC" w:rsidR="00862F6C" w:rsidRPr="00455205" w:rsidRDefault="00F3178B" w:rsidP="00455205">
            <w:pPr>
              <w:pStyle w:val="NormalWeb"/>
              <w:spacing w:before="0" w:beforeAutospacing="0" w:after="120" w:afterAutospacing="0" w:line="320" w:lineRule="exact"/>
              <w:jc w:val="both"/>
              <w:rPr>
                <w:color w:val="000000"/>
                <w:spacing w:val="-2"/>
                <w:sz w:val="26"/>
                <w:szCs w:val="26"/>
              </w:rPr>
            </w:pPr>
            <w:r w:rsidRPr="00455205">
              <w:rPr>
                <w:color w:val="000000"/>
                <w:spacing w:val="-2"/>
                <w:sz w:val="26"/>
                <w:szCs w:val="26"/>
              </w:rPr>
              <w:t xml:space="preserve">đ) Tổ chức đánh giá lượng tín chỉ các-bon thu được từ công viên, cây xanh trên địa bàn </w:t>
            </w:r>
            <w:r w:rsidRPr="00455205">
              <w:rPr>
                <w:b/>
                <w:bCs/>
                <w:color w:val="000000"/>
                <w:spacing w:val="-2"/>
                <w:sz w:val="26"/>
                <w:szCs w:val="26"/>
              </w:rPr>
              <w:t>theo hướng dẫn của cơ quan nhà nước có thẩm quyền</w:t>
            </w:r>
            <w:r w:rsidRPr="00455205">
              <w:rPr>
                <w:color w:val="000000"/>
                <w:spacing w:val="-2"/>
                <w:sz w:val="26"/>
                <w:szCs w:val="26"/>
              </w:rPr>
              <w:t xml:space="preserve">. </w:t>
            </w:r>
          </w:p>
        </w:tc>
      </w:tr>
      <w:tr w:rsidR="009159A3" w:rsidRPr="0083245E" w14:paraId="61DE64BB" w14:textId="77777777" w:rsidTr="00CC49A7">
        <w:tc>
          <w:tcPr>
            <w:tcW w:w="567" w:type="dxa"/>
            <w:vAlign w:val="center"/>
          </w:tcPr>
          <w:p w14:paraId="2C2B8C8C" w14:textId="30948493" w:rsidR="009159A3" w:rsidRPr="00455205" w:rsidRDefault="009159A3" w:rsidP="00455205">
            <w:pPr>
              <w:spacing w:after="120"/>
              <w:jc w:val="center"/>
              <w:rPr>
                <w:rFonts w:cs="Times New Roman"/>
                <w:sz w:val="26"/>
                <w:szCs w:val="26"/>
              </w:rPr>
            </w:pPr>
            <w:r w:rsidRPr="00455205">
              <w:rPr>
                <w:rFonts w:cs="Times New Roman"/>
                <w:sz w:val="26"/>
                <w:szCs w:val="26"/>
              </w:rPr>
              <w:t>5</w:t>
            </w:r>
          </w:p>
        </w:tc>
        <w:tc>
          <w:tcPr>
            <w:tcW w:w="1134" w:type="dxa"/>
            <w:vAlign w:val="center"/>
          </w:tcPr>
          <w:p w14:paraId="1DBBAA2F" w14:textId="2116CFD3" w:rsidR="009159A3" w:rsidRPr="00455205" w:rsidRDefault="009159A3" w:rsidP="00455205">
            <w:pPr>
              <w:spacing w:after="120"/>
              <w:jc w:val="center"/>
              <w:rPr>
                <w:rFonts w:cs="Times New Roman"/>
                <w:sz w:val="26"/>
                <w:szCs w:val="26"/>
              </w:rPr>
            </w:pPr>
            <w:r w:rsidRPr="00455205">
              <w:rPr>
                <w:rFonts w:cs="Times New Roman"/>
                <w:sz w:val="26"/>
                <w:szCs w:val="26"/>
              </w:rPr>
              <w:t>Sở Tài chính</w:t>
            </w:r>
          </w:p>
        </w:tc>
        <w:tc>
          <w:tcPr>
            <w:tcW w:w="1985" w:type="dxa"/>
            <w:vAlign w:val="center"/>
          </w:tcPr>
          <w:p w14:paraId="0960A604" w14:textId="10A2575D" w:rsidR="009159A3" w:rsidRPr="00455205" w:rsidRDefault="009159A3" w:rsidP="00455205">
            <w:pPr>
              <w:spacing w:before="120" w:after="120" w:line="400" w:lineRule="exact"/>
              <w:jc w:val="center"/>
              <w:rPr>
                <w:rFonts w:cs="Times New Roman"/>
                <w:sz w:val="26"/>
                <w:szCs w:val="26"/>
              </w:rPr>
            </w:pPr>
            <w:r w:rsidRPr="00455205">
              <w:rPr>
                <w:rFonts w:cs="Times New Roman"/>
                <w:sz w:val="26"/>
                <w:szCs w:val="26"/>
              </w:rPr>
              <w:t>Công văn số 1082/STC-QLG&amp;CS ngày 28/02/2026</w:t>
            </w:r>
          </w:p>
          <w:p w14:paraId="437C7FF3" w14:textId="77777777" w:rsidR="009159A3" w:rsidRPr="00455205" w:rsidRDefault="009159A3" w:rsidP="00455205">
            <w:pPr>
              <w:spacing w:before="120" w:after="120" w:line="400" w:lineRule="exact"/>
              <w:jc w:val="center"/>
              <w:rPr>
                <w:rFonts w:cs="Times New Roman"/>
                <w:sz w:val="26"/>
                <w:szCs w:val="26"/>
              </w:rPr>
            </w:pPr>
          </w:p>
        </w:tc>
        <w:tc>
          <w:tcPr>
            <w:tcW w:w="5812" w:type="dxa"/>
          </w:tcPr>
          <w:p w14:paraId="38D896D5" w14:textId="4C14BB0C" w:rsidR="009159A3" w:rsidRPr="00455205" w:rsidRDefault="004E7884" w:rsidP="00455205">
            <w:pPr>
              <w:pStyle w:val="NormalWeb"/>
              <w:spacing w:before="0" w:beforeAutospacing="0" w:after="120" w:afterAutospacing="0"/>
              <w:rPr>
                <w:b/>
                <w:bCs/>
                <w:sz w:val="26"/>
                <w:szCs w:val="26"/>
              </w:rPr>
            </w:pPr>
            <w:r w:rsidRPr="00455205">
              <w:rPr>
                <w:b/>
                <w:bCs/>
                <w:sz w:val="26"/>
                <w:szCs w:val="26"/>
              </w:rPr>
              <w:t>1</w:t>
            </w:r>
            <w:r w:rsidR="009159A3" w:rsidRPr="00455205">
              <w:rPr>
                <w:b/>
                <w:bCs/>
                <w:sz w:val="26"/>
                <w:szCs w:val="26"/>
              </w:rPr>
              <w:t xml:space="preserve">. Đề nghị Sở Xây dựng nghiên cứu, xem xét một số nội dung cụ thể như sau: </w:t>
            </w:r>
          </w:p>
          <w:p w14:paraId="77E1EF9F" w14:textId="77777777" w:rsidR="009159A3" w:rsidRPr="00455205" w:rsidRDefault="009159A3" w:rsidP="00455205">
            <w:pPr>
              <w:pStyle w:val="NormalWeb"/>
              <w:spacing w:before="0" w:beforeAutospacing="0" w:after="120" w:afterAutospacing="0"/>
              <w:jc w:val="both"/>
              <w:rPr>
                <w:sz w:val="26"/>
                <w:szCs w:val="26"/>
              </w:rPr>
            </w:pPr>
            <w:r w:rsidRPr="00455205">
              <w:rPr>
                <w:b/>
                <w:bCs/>
                <w:sz w:val="26"/>
                <w:szCs w:val="26"/>
              </w:rPr>
              <w:t>a)</w:t>
            </w:r>
            <w:r w:rsidRPr="00455205">
              <w:rPr>
                <w:sz w:val="26"/>
                <w:szCs w:val="26"/>
              </w:rPr>
              <w:t xml:space="preserve"> Khoản 4 Điều 27 Nghị định số 258/2025/NĐ-CP ngày 09/10/2025 của Chính phủ về quản lý công viên, cây xanh, mặt nước, quy định “4. Ủy ban nhân dân cấp tỉnh có trách nhiệm phân cấp cho cơ quan chuyên môn về công viên, cây xanh trực thuộc và Ủy ban nhân dân cấp xã thực hiện cấp giấy phép chặt hạ, dịch chuyển cây xanh trên địa bàn tỉnh phù hợp với quy định của pháp luật về tổ chức chính quyền địa phương”, đồng thời khoản 1 Điều 45 quy định trách nhiệm của UBND cấp tỉnh bao gồm “1. Tổ chức quản lý nhà nước về công viên, cây xanh, mặt nước trên địa bàn toàn tỉnh; phân công, phân cấp quản lý công viên, cây xanh, mặt nước trên địa bàn cho cơ quan chuyên môn trực thuộc và Ủy ban nhân dân các cấp theo quy định của Nghị định này và quy định của pháp luật về tổ chức chính quyền địa phương”. Tại khoản 1 Điều 3, khoản 1 Điều 4 dự thảo Quy định thể hiện nội dung phân công, phân cấp cho Ban Quản lý Khu kinh tế cửa khẩu Đồng Đăng - Lạng Sơn quản lý công viên, cây xanh, mặt nước đối với Khu kinh tế, các khu công nghiệp, các cửa khẩu ngoài Khu kinh tế do UBND tỉnh giao; thực hiện cấp giấy phép chặt hạ, dịch chuyển cây xanh thuộc phạm vi được giao quản lý. Tuy nhiên theo quy định tại điểm a khoản 3 Điều 1 Nghị định số 150/2025/NĐ-CP ngày 12/6/2025 của Chính phủ quy định tổ chức các cơ quan chuyên môn thuộc UBND tỉnh, thành phố trực thuộc trung ương và UBND xã, phường, đặc khu thuộc tỉnh, thành phố trực thuộc trung ương thì “a) Ban Quản lý các Khu công nghiệp, Khu công nghệ cao, Khu kinh tế và Ban Quản lý có tên gọi khác thuộc Ủy ban nhân dân cấp tỉnh” không thuộc đối tượng áp dụng của Nghị định này. Do đó không phải cơ quan chuyên môn thuộc UBND tỉnh. Do đó đề nghị nghiên cứu, xem xét kỹ lưỡng nội dung phân công, phân cấp đảm bảo phù hợp theo đúng quy định. </w:t>
            </w:r>
          </w:p>
          <w:p w14:paraId="1A4573EF" w14:textId="4201A61F" w:rsidR="009159A3" w:rsidRPr="00455205" w:rsidRDefault="009159A3" w:rsidP="00455205">
            <w:pPr>
              <w:pStyle w:val="NormalWeb"/>
              <w:spacing w:before="0" w:beforeAutospacing="0" w:after="120" w:afterAutospacing="0"/>
              <w:jc w:val="both"/>
              <w:rPr>
                <w:sz w:val="26"/>
                <w:szCs w:val="26"/>
              </w:rPr>
            </w:pPr>
            <w:r w:rsidRPr="00455205">
              <w:rPr>
                <w:b/>
                <w:bCs/>
                <w:sz w:val="26"/>
                <w:szCs w:val="26"/>
              </w:rPr>
              <w:t>b)</w:t>
            </w:r>
            <w:r w:rsidRPr="00455205">
              <w:rPr>
                <w:sz w:val="26"/>
                <w:szCs w:val="26"/>
              </w:rPr>
              <w:t xml:space="preserve"> Tại khoản 2 Điều 5 dự thảo Quy định thể hiện nội dung quy định trách nhiệm của “2. Sở Tài chính a) Tổ chức kiểm tra việc quản lý, sử dụng số tiền thu được từ khai thác, xử lý tài sản kết cấu hạ tầng công viên, cây xanh. b) Chủ trì, phối hợp với các Sở ban ngành và Ủy ban nhân dân cấp xã công bố danh mục các dự án đầu tư phát triển công viên, cây xanh, mặt nước; kêu gọi hỗ trợ của tổ chức, cá nhân”. Đây là Quyết định ban hành quy định về phân công, phân cấp quản lý công viên, cây xanh, mặt nước trên địa bàn tỉnh Lạng Sơn; việc đưa các nội dung lãnh đạo, chỉ đạo và không mang tính quy phạm (quy tắc xử sự chung, có hiệu lực bắt buộc chung, được áp dụng đối với cơ quan, tổ chức, cá nhân, trong phạm vi cả nước hoặc trong đơn vị hành chính nhất định, do cơ quan nhà nước, người có thẩm quyền quy định tại Luật này ban hành và được Nhà nước bảo đảm thực hiện) là chưa phù hợp; đồng thời nội dung chỉ đạo nêu trên không đảm bảo sát với nội dung của Quyết định là quy định việc phân công, phân cấp quản lý. Do đó đề nghị nghiên cứu, xem xét kỹ lưỡng nội dung quy định tại dự thảo đảm bảo phù hợp theo đúng quy định.</w:t>
            </w:r>
          </w:p>
        </w:tc>
        <w:tc>
          <w:tcPr>
            <w:tcW w:w="5386" w:type="dxa"/>
            <w:gridSpan w:val="2"/>
          </w:tcPr>
          <w:p w14:paraId="16FD6621" w14:textId="29D8B6C2" w:rsidR="00E24D69" w:rsidRPr="00455205" w:rsidRDefault="004E7884" w:rsidP="00455205">
            <w:pPr>
              <w:pStyle w:val="NormalWeb"/>
              <w:spacing w:before="0" w:beforeAutospacing="0" w:after="120" w:afterAutospacing="0"/>
              <w:jc w:val="both"/>
              <w:rPr>
                <w:b/>
                <w:bCs/>
                <w:sz w:val="26"/>
                <w:szCs w:val="26"/>
              </w:rPr>
            </w:pPr>
            <w:r w:rsidRPr="00455205">
              <w:rPr>
                <w:b/>
                <w:bCs/>
                <w:sz w:val="26"/>
                <w:szCs w:val="26"/>
              </w:rPr>
              <w:t>1</w:t>
            </w:r>
            <w:r w:rsidR="009159A3" w:rsidRPr="00455205">
              <w:rPr>
                <w:b/>
                <w:bCs/>
                <w:sz w:val="26"/>
                <w:szCs w:val="26"/>
              </w:rPr>
              <w:t xml:space="preserve">. Đề nghị giữ nguyên theo nội dung dự thảo và giải trình như sau: </w:t>
            </w:r>
          </w:p>
          <w:p w14:paraId="7BECA5C7" w14:textId="7824D2A1" w:rsidR="009159A3" w:rsidRPr="00455205" w:rsidRDefault="00A66858" w:rsidP="00455205">
            <w:pPr>
              <w:pStyle w:val="NormalWeb"/>
              <w:spacing w:before="0" w:beforeAutospacing="0" w:after="120" w:afterAutospacing="0"/>
              <w:jc w:val="both"/>
              <w:rPr>
                <w:sz w:val="26"/>
                <w:szCs w:val="26"/>
              </w:rPr>
            </w:pPr>
            <w:r w:rsidRPr="00455205">
              <w:rPr>
                <w:b/>
                <w:bCs/>
                <w:sz w:val="26"/>
                <w:szCs w:val="26"/>
              </w:rPr>
              <w:t>a)</w:t>
            </w:r>
            <w:r w:rsidRPr="00455205">
              <w:rPr>
                <w:sz w:val="26"/>
                <w:szCs w:val="26"/>
              </w:rPr>
              <w:t xml:space="preserve"> </w:t>
            </w:r>
            <w:r w:rsidR="009159A3" w:rsidRPr="00455205">
              <w:rPr>
                <w:sz w:val="26"/>
                <w:szCs w:val="26"/>
              </w:rPr>
              <w:t>Theo Quyết định số 29/2023/QĐ-UBND ngày 31/12/2023 (sửa đổi bởi Quyết định số 58/2024/QĐ-UBND ngày 19/12/2024) của UBND tỉnh Lạng Sơn, Ban Quản lý Khu kinh tế cửa khẩu Đồng Đăng - Lạng Sơn (Sau đây gọi tắt là Ban) là cơ quan quản lý nhà nước trực thuộc UBND tỉnh, có tư cách pháp nhân, con dấu, tài khoản riêng. Ban thực hiện nhiệm vụ, quyền hạn của cơ quan chuyên môn thuộc UBND tỉnh khi được phân cấp, ủy quyền theo quy định tại (khoản 2 Điều 1 Quyết định số 29/2023/QĐ-UBND) Nghị định số Nghị định 35/2022/NĐ-CP và quy định khác của pháp luật liên quan (Nghị định 35/2022/NĐ-CP đã được sửa đổi bổ sung một số điều tại Nghị định 178/2025/NĐ-CP) . Việc Phân cấp chỉ giới hạn trong Khu kinh tế cửa khẩu Đồng Đăng - Lạng Sơn (các khu chức năng, khu công nghiệp, cửa khẩu được giao), nơi Ban có thẩm quyền trực tiếp về quy hoạch xây dựng, quản lý đất đai, bảo vệ môi trường và duy trì hạ tầng (Điều 2 khoản 1, 3, 4 Quyết định 29/2023). Do Cây xanh là một phần của hạ tầng kỹ thuật, cảnh quan và môi trường, phù hợp với nguyên tắc phân cấp theo Nghị định 258/2025/NĐ-CP do đó việc phân cấp là phù hợp để nâng cao hiệu quả quản lý nhà nước tại địa phương, đặc biệt với khu vực có tính đặc thù như khu kinh tế cửa khẩu.</w:t>
            </w:r>
          </w:p>
          <w:p w14:paraId="4C8B9D48" w14:textId="048B2C91" w:rsidR="00E24D69" w:rsidRPr="00455205" w:rsidRDefault="00A66858" w:rsidP="00455205">
            <w:pPr>
              <w:pStyle w:val="NormalWeb"/>
              <w:spacing w:before="0" w:beforeAutospacing="0" w:after="120" w:afterAutospacing="0"/>
              <w:jc w:val="both"/>
              <w:rPr>
                <w:sz w:val="26"/>
                <w:szCs w:val="26"/>
              </w:rPr>
            </w:pPr>
            <w:r w:rsidRPr="00455205">
              <w:rPr>
                <w:b/>
                <w:bCs/>
                <w:sz w:val="26"/>
                <w:szCs w:val="26"/>
              </w:rPr>
              <w:t xml:space="preserve">b) </w:t>
            </w:r>
            <w:r w:rsidR="00E24D69" w:rsidRPr="00455205">
              <w:rPr>
                <w:sz w:val="26"/>
                <w:szCs w:val="26"/>
              </w:rPr>
              <w:t>Quyết định không chỉ thực hiện phân công, phân cấp quản lý mà còn quy định rõ trách nhiệm cụ thể của các sở, ban, ngành nhằm bảo đảm tổ chức thực hiện thống nhất, hiệu quả (theo khoản 1 Điều 45 Nghị định 258/2025/NĐ-CP). Các nội dung dự thảo mang tính chỉ đạo cụ thể nhưng vẫn trong khuôn khổ phân công nhiệm vụ, không làm phát sinh thêm chức năng, thẩm quyền, đồng thời góp phần hạn chế chồng chéo, nâng cao hiệu lực, hiệu quả quản lý nhà nước.</w:t>
            </w:r>
          </w:p>
          <w:p w14:paraId="757D4574" w14:textId="39FE432E" w:rsidR="00E24D69" w:rsidRPr="00455205" w:rsidRDefault="00E24D69" w:rsidP="00455205">
            <w:pPr>
              <w:pStyle w:val="NormalWeb"/>
              <w:spacing w:before="0" w:beforeAutospacing="0" w:after="120" w:afterAutospacing="0"/>
              <w:jc w:val="both"/>
              <w:rPr>
                <w:sz w:val="26"/>
                <w:szCs w:val="26"/>
              </w:rPr>
            </w:pPr>
          </w:p>
        </w:tc>
      </w:tr>
      <w:tr w:rsidR="00A66858" w:rsidRPr="0083245E" w14:paraId="5CA3DE6D" w14:textId="77777777" w:rsidTr="00CC49A7">
        <w:tc>
          <w:tcPr>
            <w:tcW w:w="567" w:type="dxa"/>
            <w:vMerge w:val="restart"/>
            <w:vAlign w:val="center"/>
          </w:tcPr>
          <w:p w14:paraId="1DD713C6" w14:textId="23D82A1C" w:rsidR="00A66858" w:rsidRPr="00455205" w:rsidRDefault="00A66858" w:rsidP="00455205">
            <w:pPr>
              <w:spacing w:after="120"/>
              <w:jc w:val="center"/>
              <w:rPr>
                <w:rFonts w:cs="Times New Roman"/>
                <w:sz w:val="26"/>
                <w:szCs w:val="26"/>
              </w:rPr>
            </w:pPr>
            <w:r w:rsidRPr="00455205">
              <w:rPr>
                <w:rFonts w:cs="Times New Roman"/>
                <w:sz w:val="26"/>
                <w:szCs w:val="26"/>
              </w:rPr>
              <w:t>6</w:t>
            </w:r>
          </w:p>
        </w:tc>
        <w:tc>
          <w:tcPr>
            <w:tcW w:w="1134" w:type="dxa"/>
            <w:vMerge w:val="restart"/>
            <w:vAlign w:val="center"/>
          </w:tcPr>
          <w:p w14:paraId="5F1E43EE" w14:textId="3B318AFE" w:rsidR="00A66858" w:rsidRPr="00455205" w:rsidRDefault="00A66858" w:rsidP="00455205">
            <w:pPr>
              <w:spacing w:after="120"/>
              <w:jc w:val="center"/>
              <w:rPr>
                <w:rFonts w:cs="Times New Roman"/>
                <w:sz w:val="26"/>
                <w:szCs w:val="26"/>
              </w:rPr>
            </w:pPr>
            <w:r w:rsidRPr="00455205">
              <w:rPr>
                <w:rFonts w:cs="Times New Roman"/>
                <w:sz w:val="26"/>
                <w:szCs w:val="26"/>
              </w:rPr>
              <w:t>UBND xã Khánh Khê</w:t>
            </w:r>
          </w:p>
        </w:tc>
        <w:tc>
          <w:tcPr>
            <w:tcW w:w="1985" w:type="dxa"/>
            <w:vMerge w:val="restart"/>
            <w:vAlign w:val="center"/>
          </w:tcPr>
          <w:p w14:paraId="2720F9B9" w14:textId="5BE35201" w:rsidR="00A66858" w:rsidRPr="00455205" w:rsidRDefault="00A66858" w:rsidP="00455205">
            <w:pPr>
              <w:spacing w:before="120" w:after="120" w:line="400" w:lineRule="exact"/>
              <w:jc w:val="center"/>
              <w:rPr>
                <w:rFonts w:cs="Times New Roman"/>
                <w:sz w:val="26"/>
                <w:szCs w:val="26"/>
              </w:rPr>
            </w:pPr>
            <w:r w:rsidRPr="00455205">
              <w:rPr>
                <w:rFonts w:cs="Times New Roman"/>
                <w:sz w:val="26"/>
                <w:szCs w:val="26"/>
              </w:rPr>
              <w:t>Công văn số 302/UBND-KT ngày 24/02/2026</w:t>
            </w:r>
          </w:p>
        </w:tc>
        <w:tc>
          <w:tcPr>
            <w:tcW w:w="5812" w:type="dxa"/>
          </w:tcPr>
          <w:p w14:paraId="0C1B9860" w14:textId="13660F09" w:rsidR="00A66858" w:rsidRPr="00455205" w:rsidRDefault="00A66858" w:rsidP="00455205">
            <w:pPr>
              <w:spacing w:after="120"/>
              <w:jc w:val="both"/>
              <w:rPr>
                <w:rFonts w:cs="Times New Roman"/>
                <w:color w:val="000000"/>
                <w:spacing w:val="-2"/>
                <w:sz w:val="26"/>
                <w:szCs w:val="26"/>
              </w:rPr>
            </w:pPr>
            <w:r w:rsidRPr="00455205">
              <w:rPr>
                <w:rFonts w:cs="Times New Roman"/>
                <w:b/>
                <w:bCs/>
                <w:color w:val="000000"/>
                <w:spacing w:val="-2"/>
                <w:sz w:val="26"/>
                <w:szCs w:val="26"/>
              </w:rPr>
              <w:t>1. Về phân công, phân cấp quản lý (Điều 3 và Điều 4)</w:t>
            </w:r>
          </w:p>
          <w:p w14:paraId="70D8A482" w14:textId="6172CC7C"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xml:space="preserve">- Bổ sung hướng dẫn cụ thể về trình tự, thủ tục cấp phép chặt hạ, dịch chuyển cây xanh để thống nhất áp dụng. </w:t>
            </w:r>
          </w:p>
          <w:p w14:paraId="262BBDD9" w14:textId="77777777"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Quy định rõ cơ chế phối hợp giữa UBND cấp xã với cơ quan chuyên môn cấp tỉnh cho cây xanh cần bảo tồn hoặc liên quan đến di tích, hành lang giao thông, công trình hạ tầng kỹ thuật.</w:t>
            </w:r>
          </w:p>
          <w:p w14:paraId="3718F624" w14:textId="168124A2" w:rsidR="00A66858" w:rsidRPr="00455205" w:rsidRDefault="00A66858" w:rsidP="00455205">
            <w:pPr>
              <w:spacing w:after="120"/>
              <w:jc w:val="both"/>
              <w:rPr>
                <w:rFonts w:cs="Times New Roman"/>
                <w:color w:val="000000"/>
                <w:spacing w:val="-2"/>
                <w:sz w:val="26"/>
                <w:szCs w:val="26"/>
              </w:rPr>
            </w:pPr>
          </w:p>
        </w:tc>
        <w:tc>
          <w:tcPr>
            <w:tcW w:w="5386" w:type="dxa"/>
            <w:gridSpan w:val="2"/>
          </w:tcPr>
          <w:p w14:paraId="440B0AF3" w14:textId="4BDE816F" w:rsidR="00A66858" w:rsidRPr="00455205" w:rsidRDefault="00A66858" w:rsidP="00455205">
            <w:pPr>
              <w:pStyle w:val="NormalWeb"/>
              <w:spacing w:before="0" w:beforeAutospacing="0" w:after="120" w:afterAutospacing="0"/>
              <w:jc w:val="both"/>
              <w:rPr>
                <w:b/>
                <w:bCs/>
                <w:sz w:val="26"/>
                <w:szCs w:val="26"/>
              </w:rPr>
            </w:pPr>
            <w:r w:rsidRPr="00455205">
              <w:rPr>
                <w:b/>
                <w:bCs/>
                <w:sz w:val="26"/>
                <w:szCs w:val="26"/>
              </w:rPr>
              <w:t xml:space="preserve">1. Đề nghị giữ nguyên theo nội dung dự thảo và giải trình như sau: </w:t>
            </w:r>
          </w:p>
          <w:p w14:paraId="5667A6B2" w14:textId="77777777" w:rsidR="00A66858" w:rsidRPr="00455205" w:rsidRDefault="00A66858" w:rsidP="00455205">
            <w:pPr>
              <w:pStyle w:val="NormalWeb"/>
              <w:spacing w:before="0" w:beforeAutospacing="0" w:after="120" w:afterAutospacing="0" w:line="300" w:lineRule="exact"/>
              <w:jc w:val="both"/>
              <w:rPr>
                <w:sz w:val="26"/>
                <w:szCs w:val="26"/>
              </w:rPr>
            </w:pPr>
            <w:r w:rsidRPr="00455205">
              <w:rPr>
                <w:sz w:val="26"/>
                <w:szCs w:val="26"/>
              </w:rPr>
              <w:t>- Trình tự, thủ tục cấp phép chặt hạ, dịch chuyển cây xanh đã được quy định cụ thể tại Điều 27 Nghị định 258/2025/NĐ-CP. Do đó, nội dung dự thảo Quyết định chỉ mang tính dẫn chiếu, bảo đảm thống nhất với quy định hiện hành, không quy định lại hoặc phát sinh thêm thủ tục hành chính.</w:t>
            </w:r>
          </w:p>
          <w:p w14:paraId="374A234B" w14:textId="77777777" w:rsidR="00A66858" w:rsidRDefault="00A66858" w:rsidP="00455205">
            <w:pPr>
              <w:pStyle w:val="NormalWeb"/>
              <w:spacing w:before="0" w:beforeAutospacing="0" w:after="120" w:afterAutospacing="0" w:line="300" w:lineRule="exact"/>
              <w:jc w:val="both"/>
              <w:rPr>
                <w:sz w:val="26"/>
                <w:szCs w:val="26"/>
              </w:rPr>
            </w:pPr>
            <w:r w:rsidRPr="00455205">
              <w:rPr>
                <w:sz w:val="26"/>
                <w:szCs w:val="26"/>
              </w:rPr>
              <w:t>- Việc phối hợp được thực hiện cụ thể theo chức năng, nhiệm vụ và thẩm quyền của từng cơ quan, bảo đảm thống nhất, đồng bộ trong công tác quản lý. Do đó, việc quy định chi tiết cơ chế phối hợp trong Quyết định là không cần thiết, tránh trùng lặp, chồng chéo với các văn bản quy phạm pháp luật hiện hành. Trong quá trình tổ chức thực hiện, căn cứ tình hình thực tế, các cơ quan liên quan chủ động trao đổi, hướng dẫn cụ thể để bảo đảm hiệu quả quản lý</w:t>
            </w:r>
            <w:r w:rsidR="0042698E" w:rsidRPr="00455205">
              <w:rPr>
                <w:sz w:val="26"/>
                <w:szCs w:val="26"/>
              </w:rPr>
              <w:t>.</w:t>
            </w:r>
          </w:p>
          <w:p w14:paraId="53A784F0" w14:textId="497AA13F" w:rsidR="00455205" w:rsidRPr="00455205" w:rsidRDefault="00455205" w:rsidP="00455205">
            <w:pPr>
              <w:pStyle w:val="NormalWeb"/>
              <w:spacing w:before="0" w:beforeAutospacing="0" w:after="120" w:afterAutospacing="0" w:line="300" w:lineRule="exact"/>
              <w:jc w:val="both"/>
              <w:rPr>
                <w:sz w:val="26"/>
                <w:szCs w:val="26"/>
              </w:rPr>
            </w:pPr>
          </w:p>
        </w:tc>
      </w:tr>
      <w:tr w:rsidR="00A66858" w:rsidRPr="0083245E" w14:paraId="6F9296B5" w14:textId="77777777" w:rsidTr="00CC49A7">
        <w:tc>
          <w:tcPr>
            <w:tcW w:w="567" w:type="dxa"/>
            <w:vMerge/>
            <w:vAlign w:val="center"/>
          </w:tcPr>
          <w:p w14:paraId="1E45C3A8" w14:textId="77777777" w:rsidR="00A66858" w:rsidRPr="00455205" w:rsidRDefault="00A66858" w:rsidP="00455205">
            <w:pPr>
              <w:spacing w:after="120"/>
              <w:jc w:val="center"/>
              <w:rPr>
                <w:rFonts w:cs="Times New Roman"/>
                <w:sz w:val="26"/>
                <w:szCs w:val="26"/>
              </w:rPr>
            </w:pPr>
          </w:p>
        </w:tc>
        <w:tc>
          <w:tcPr>
            <w:tcW w:w="1134" w:type="dxa"/>
            <w:vMerge/>
            <w:vAlign w:val="center"/>
          </w:tcPr>
          <w:p w14:paraId="756FBC26" w14:textId="77777777" w:rsidR="00A66858" w:rsidRPr="00455205" w:rsidRDefault="00A66858" w:rsidP="00455205">
            <w:pPr>
              <w:spacing w:after="120"/>
              <w:jc w:val="center"/>
              <w:rPr>
                <w:rFonts w:cs="Times New Roman"/>
                <w:sz w:val="26"/>
                <w:szCs w:val="26"/>
              </w:rPr>
            </w:pPr>
          </w:p>
        </w:tc>
        <w:tc>
          <w:tcPr>
            <w:tcW w:w="1985" w:type="dxa"/>
            <w:vMerge/>
            <w:vAlign w:val="center"/>
          </w:tcPr>
          <w:p w14:paraId="5A91FFE1" w14:textId="77777777" w:rsidR="00A66858" w:rsidRPr="00455205" w:rsidRDefault="00A66858" w:rsidP="00455205">
            <w:pPr>
              <w:spacing w:before="120" w:after="120" w:line="400" w:lineRule="exact"/>
              <w:jc w:val="center"/>
              <w:rPr>
                <w:rFonts w:cs="Times New Roman"/>
                <w:sz w:val="26"/>
                <w:szCs w:val="26"/>
              </w:rPr>
            </w:pPr>
          </w:p>
        </w:tc>
        <w:tc>
          <w:tcPr>
            <w:tcW w:w="5812" w:type="dxa"/>
          </w:tcPr>
          <w:p w14:paraId="7367064F" w14:textId="6E1E0F87" w:rsidR="00A66858" w:rsidRPr="00455205" w:rsidRDefault="00A66858" w:rsidP="00455205">
            <w:pPr>
              <w:spacing w:after="120"/>
              <w:jc w:val="both"/>
              <w:rPr>
                <w:rFonts w:cs="Times New Roman"/>
                <w:b/>
                <w:bCs/>
                <w:color w:val="000000"/>
                <w:spacing w:val="-2"/>
                <w:sz w:val="26"/>
                <w:szCs w:val="26"/>
              </w:rPr>
            </w:pPr>
            <w:r w:rsidRPr="00455205">
              <w:rPr>
                <w:rFonts w:cs="Times New Roman"/>
                <w:b/>
                <w:bCs/>
                <w:color w:val="000000"/>
                <w:spacing w:val="-2"/>
                <w:sz w:val="26"/>
                <w:szCs w:val="26"/>
              </w:rPr>
              <w:t>2. Về trách nhiệm của UBND cấp xã (Điều 6)</w:t>
            </w:r>
          </w:p>
          <w:p w14:paraId="44908E9A" w14:textId="02FDAB6E"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UBND xã thống nhất với nội dung quy định trách nhiệm quản lý địa bàn, xây dựng và cập nhật cơ sở dữ liệu chuyên ngành.</w:t>
            </w:r>
            <w:r w:rsidR="00A54F9A">
              <w:rPr>
                <w:rFonts w:cs="Times New Roman"/>
                <w:color w:val="000000"/>
                <w:spacing w:val="-2"/>
                <w:sz w:val="26"/>
                <w:szCs w:val="26"/>
              </w:rPr>
              <w:t xml:space="preserve"> </w:t>
            </w:r>
            <w:r w:rsidRPr="00455205">
              <w:rPr>
                <w:rFonts w:cs="Times New Roman"/>
                <w:color w:val="000000"/>
                <w:spacing w:val="-2"/>
                <w:sz w:val="26"/>
                <w:szCs w:val="26"/>
              </w:rPr>
              <w:t>Tuy nhiên, thực tiễn tại xã miền núi như Khánh Khê cho thấy:</w:t>
            </w:r>
          </w:p>
          <w:p w14:paraId="78BB7D6A" w14:textId="77777777"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Nguồn nhân lực chuyên môn về hạ tầng kỹ thuật còn hạn chế;</w:t>
            </w:r>
          </w:p>
          <w:p w14:paraId="33F0420F" w14:textId="7DFC7D4A"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Kinh phí phục vụ công tác điều tra, lập cơ sở dữ liệu cây xanh, mặt nước</w:t>
            </w:r>
            <w:r w:rsidR="00A54F9A">
              <w:rPr>
                <w:rFonts w:cs="Times New Roman"/>
                <w:color w:val="000000"/>
                <w:spacing w:val="-2"/>
                <w:sz w:val="26"/>
                <w:szCs w:val="26"/>
              </w:rPr>
              <w:t xml:space="preserve"> </w:t>
            </w:r>
            <w:r w:rsidRPr="00455205">
              <w:rPr>
                <w:rFonts w:cs="Times New Roman"/>
                <w:color w:val="000000"/>
                <w:spacing w:val="-2"/>
                <w:sz w:val="26"/>
                <w:szCs w:val="26"/>
              </w:rPr>
              <w:t>còn khó khăn.</w:t>
            </w:r>
          </w:p>
          <w:p w14:paraId="2323152A" w14:textId="77777777"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Đề nghị Sở Xây dựng tham mưu UBND tỉnh xem xét:</w:t>
            </w:r>
          </w:p>
          <w:p w14:paraId="13EFAC53" w14:textId="77777777"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Tổ chức tập huấn chuyên môn, nghiệp vụ cho cán bộ cấp xã;</w:t>
            </w:r>
          </w:p>
          <w:p w14:paraId="6CB2AB3D" w14:textId="77777777"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Hướng dẫn mẫu biểu, phần mềm quản lý thống nhất;</w:t>
            </w:r>
          </w:p>
          <w:p w14:paraId="2E12412B" w14:textId="2F4CE8DB" w:rsidR="00A66858" w:rsidRPr="00455205" w:rsidRDefault="00A66858" w:rsidP="00455205">
            <w:pPr>
              <w:spacing w:after="120"/>
              <w:jc w:val="both"/>
              <w:rPr>
                <w:rFonts w:cs="Times New Roman"/>
                <w:color w:val="000000"/>
                <w:spacing w:val="-2"/>
                <w:sz w:val="26"/>
                <w:szCs w:val="26"/>
              </w:rPr>
            </w:pPr>
            <w:r w:rsidRPr="00455205">
              <w:rPr>
                <w:rFonts w:cs="Times New Roman"/>
                <w:color w:val="000000"/>
                <w:spacing w:val="-2"/>
                <w:sz w:val="26"/>
                <w:szCs w:val="26"/>
              </w:rPr>
              <w:t>- Có cơ chế hỗ trợ kinh phí bước đầu để xây dựng cơ sở dữ liệu chuyên ngành.</w:t>
            </w:r>
          </w:p>
        </w:tc>
        <w:tc>
          <w:tcPr>
            <w:tcW w:w="5386" w:type="dxa"/>
            <w:gridSpan w:val="2"/>
          </w:tcPr>
          <w:p w14:paraId="383DEA9A" w14:textId="39391F6F" w:rsidR="00A66858" w:rsidRPr="00455205" w:rsidRDefault="00A66858" w:rsidP="00455205">
            <w:pPr>
              <w:pStyle w:val="NormalWeb"/>
              <w:spacing w:before="0" w:beforeAutospacing="0" w:after="120" w:afterAutospacing="0"/>
              <w:jc w:val="both"/>
              <w:rPr>
                <w:b/>
                <w:bCs/>
                <w:sz w:val="26"/>
                <w:szCs w:val="26"/>
              </w:rPr>
            </w:pPr>
            <w:r w:rsidRPr="00455205">
              <w:rPr>
                <w:b/>
                <w:bCs/>
                <w:color w:val="000000"/>
                <w:spacing w:val="-2"/>
                <w:sz w:val="26"/>
                <w:szCs w:val="26"/>
              </w:rPr>
              <w:t xml:space="preserve">2. </w:t>
            </w:r>
            <w:r w:rsidRPr="00455205">
              <w:rPr>
                <w:b/>
                <w:bCs/>
                <w:sz w:val="26"/>
                <w:szCs w:val="26"/>
              </w:rPr>
              <w:t xml:space="preserve">Đề nghị giữ nguyên theo nội dung dự thảo và giải trình như sau: </w:t>
            </w:r>
          </w:p>
          <w:p w14:paraId="3EED58E7" w14:textId="2A49751D" w:rsidR="00A66858" w:rsidRPr="00455205" w:rsidRDefault="00A66858" w:rsidP="00455205">
            <w:pPr>
              <w:pStyle w:val="NormalWeb"/>
              <w:spacing w:before="0" w:beforeAutospacing="0" w:after="120" w:afterAutospacing="0" w:line="300" w:lineRule="exact"/>
              <w:jc w:val="both"/>
              <w:rPr>
                <w:sz w:val="26"/>
                <w:szCs w:val="26"/>
              </w:rPr>
            </w:pPr>
            <w:r w:rsidRPr="00455205">
              <w:rPr>
                <w:color w:val="000000"/>
                <w:spacing w:val="-2"/>
                <w:sz w:val="26"/>
                <w:szCs w:val="26"/>
              </w:rPr>
              <w:t xml:space="preserve">- </w:t>
            </w:r>
            <w:r w:rsidR="0042698E" w:rsidRPr="00455205">
              <w:rPr>
                <w:rFonts w:eastAsiaTheme="minorHAnsi"/>
                <w:color w:val="000000"/>
                <w:spacing w:val="-2"/>
                <w:sz w:val="26"/>
                <w:szCs w:val="26"/>
              </w:rPr>
              <w:t>Cơ quan soạn thảo</w:t>
            </w:r>
            <w:r w:rsidRPr="00455205">
              <w:rPr>
                <w:rFonts w:eastAsiaTheme="minorHAnsi"/>
                <w:color w:val="000000"/>
                <w:spacing w:val="-2"/>
                <w:sz w:val="26"/>
                <w:szCs w:val="26"/>
              </w:rPr>
              <w:t xml:space="preserve"> tiếp thu ý kiến của Ủy ban nhân dân xã Khánh Khê về những khó khăn liên quan đến nguồn nhân lực chuyên môn và kinh phí trong công tác quản lý, xây dựng cơ sở dữ liệu cây xanh, mặt nước. Trong quá trình triển khai thực hiện, Sở Xây dựng tiếp tục phối hợp với các cơ quan liên quan tham mưu UBND tỉnh xem xét cơ chế hỗ trợ kinh phí (tổ chức tập huấn, xây dựng phần mềm quản lý, xây dựng cơ sở dữ liệu…)  phù hợp với điều kiện ngân sách địa phương.</w:t>
            </w:r>
          </w:p>
          <w:p w14:paraId="0D5ACDB7" w14:textId="77777777" w:rsidR="00A66858" w:rsidRPr="00455205" w:rsidRDefault="00A66858" w:rsidP="00455205">
            <w:pPr>
              <w:pStyle w:val="NormalWeb"/>
              <w:spacing w:before="0" w:beforeAutospacing="0" w:after="120" w:afterAutospacing="0"/>
              <w:jc w:val="both"/>
              <w:rPr>
                <w:b/>
                <w:bCs/>
                <w:sz w:val="26"/>
                <w:szCs w:val="26"/>
              </w:rPr>
            </w:pPr>
          </w:p>
        </w:tc>
      </w:tr>
      <w:tr w:rsidR="00A66858" w:rsidRPr="0083245E" w14:paraId="734131E6" w14:textId="77777777" w:rsidTr="00CC49A7">
        <w:tc>
          <w:tcPr>
            <w:tcW w:w="567" w:type="dxa"/>
            <w:vMerge/>
            <w:vAlign w:val="center"/>
          </w:tcPr>
          <w:p w14:paraId="648A9B6E" w14:textId="77777777" w:rsidR="00A66858" w:rsidRPr="00455205" w:rsidRDefault="00A66858" w:rsidP="00455205">
            <w:pPr>
              <w:spacing w:after="120"/>
              <w:jc w:val="center"/>
              <w:rPr>
                <w:rFonts w:cs="Times New Roman"/>
                <w:sz w:val="26"/>
                <w:szCs w:val="26"/>
              </w:rPr>
            </w:pPr>
          </w:p>
        </w:tc>
        <w:tc>
          <w:tcPr>
            <w:tcW w:w="1134" w:type="dxa"/>
            <w:vMerge/>
            <w:vAlign w:val="center"/>
          </w:tcPr>
          <w:p w14:paraId="3479BFC6" w14:textId="77777777" w:rsidR="00A66858" w:rsidRPr="00455205" w:rsidRDefault="00A66858" w:rsidP="00455205">
            <w:pPr>
              <w:spacing w:after="120"/>
              <w:jc w:val="center"/>
              <w:rPr>
                <w:rFonts w:cs="Times New Roman"/>
                <w:sz w:val="26"/>
                <w:szCs w:val="26"/>
              </w:rPr>
            </w:pPr>
          </w:p>
        </w:tc>
        <w:tc>
          <w:tcPr>
            <w:tcW w:w="1985" w:type="dxa"/>
            <w:vMerge/>
            <w:vAlign w:val="center"/>
          </w:tcPr>
          <w:p w14:paraId="3DBEEF96" w14:textId="77777777" w:rsidR="00A66858" w:rsidRPr="00455205" w:rsidRDefault="00A66858" w:rsidP="00455205">
            <w:pPr>
              <w:spacing w:before="120" w:after="120" w:line="400" w:lineRule="exact"/>
              <w:jc w:val="center"/>
              <w:rPr>
                <w:rFonts w:cs="Times New Roman"/>
                <w:sz w:val="26"/>
                <w:szCs w:val="26"/>
              </w:rPr>
            </w:pPr>
          </w:p>
        </w:tc>
        <w:tc>
          <w:tcPr>
            <w:tcW w:w="5812" w:type="dxa"/>
          </w:tcPr>
          <w:p w14:paraId="0DB56C7E" w14:textId="5D1A92CF" w:rsidR="00A66858" w:rsidRPr="00455205" w:rsidRDefault="00A66858" w:rsidP="00455205">
            <w:pPr>
              <w:spacing w:after="120"/>
              <w:jc w:val="both"/>
              <w:rPr>
                <w:rFonts w:cs="Times New Roman"/>
                <w:b/>
                <w:bCs/>
                <w:color w:val="000000"/>
                <w:sz w:val="26"/>
                <w:szCs w:val="26"/>
              </w:rPr>
            </w:pPr>
            <w:r w:rsidRPr="00455205">
              <w:rPr>
                <w:rFonts w:cs="Times New Roman"/>
                <w:b/>
                <w:bCs/>
                <w:color w:val="000000"/>
                <w:sz w:val="26"/>
                <w:szCs w:val="26"/>
              </w:rPr>
              <w:t>3. Về chế độ báo cáo và cơ sở dữ liệu</w:t>
            </w:r>
          </w:p>
          <w:p w14:paraId="60FA3378" w14:textId="651C6757" w:rsidR="00A66858" w:rsidRPr="00455205" w:rsidRDefault="00A66858" w:rsidP="00455205">
            <w:pPr>
              <w:spacing w:after="120"/>
              <w:jc w:val="both"/>
              <w:rPr>
                <w:rFonts w:cs="Times New Roman"/>
                <w:b/>
                <w:bCs/>
                <w:color w:val="000000"/>
                <w:sz w:val="26"/>
                <w:szCs w:val="26"/>
              </w:rPr>
            </w:pPr>
            <w:r w:rsidRPr="00455205">
              <w:rPr>
                <w:rFonts w:cs="Times New Roman"/>
                <w:color w:val="000000"/>
                <w:sz w:val="26"/>
                <w:szCs w:val="26"/>
              </w:rPr>
              <w:t>Đề nghị quy định cụ thể biểu mẫu báo cáo định kỳ; đồng thời có lộ trình thực hiện chuyển đổi số phù hợp với điều kiện hạ tầng công nghệ thông tin tại cấp xã.</w:t>
            </w:r>
          </w:p>
        </w:tc>
        <w:tc>
          <w:tcPr>
            <w:tcW w:w="5386" w:type="dxa"/>
            <w:gridSpan w:val="2"/>
          </w:tcPr>
          <w:p w14:paraId="3E7DD5C8" w14:textId="5F7EF9E5" w:rsidR="00A66858" w:rsidRPr="00455205" w:rsidRDefault="00A66858" w:rsidP="00455205">
            <w:pPr>
              <w:pStyle w:val="NormalWeb"/>
              <w:spacing w:before="0" w:beforeAutospacing="0" w:after="120" w:afterAutospacing="0"/>
              <w:jc w:val="both"/>
              <w:rPr>
                <w:b/>
                <w:bCs/>
                <w:sz w:val="26"/>
                <w:szCs w:val="26"/>
              </w:rPr>
            </w:pPr>
            <w:r w:rsidRPr="00455205">
              <w:rPr>
                <w:b/>
                <w:bCs/>
                <w:color w:val="000000"/>
                <w:spacing w:val="-2"/>
                <w:sz w:val="26"/>
                <w:szCs w:val="26"/>
              </w:rPr>
              <w:t xml:space="preserve">3. </w:t>
            </w:r>
            <w:r w:rsidRPr="00455205">
              <w:rPr>
                <w:b/>
                <w:bCs/>
                <w:sz w:val="26"/>
                <w:szCs w:val="26"/>
              </w:rPr>
              <w:t xml:space="preserve">Đề nghị giữ nguyên theo nội dung dự thảo và giải trình như sau: </w:t>
            </w:r>
          </w:p>
          <w:p w14:paraId="5010025D" w14:textId="77777777" w:rsidR="00A66858" w:rsidRDefault="00A66858" w:rsidP="00455205">
            <w:pPr>
              <w:pStyle w:val="NormalWeb"/>
              <w:spacing w:before="0" w:beforeAutospacing="0" w:after="120" w:afterAutospacing="0"/>
              <w:jc w:val="both"/>
              <w:rPr>
                <w:color w:val="000000"/>
                <w:spacing w:val="-2"/>
                <w:sz w:val="26"/>
                <w:szCs w:val="26"/>
              </w:rPr>
            </w:pPr>
            <w:r w:rsidRPr="00455205">
              <w:rPr>
                <w:color w:val="000000"/>
                <w:spacing w:val="-2"/>
                <w:sz w:val="26"/>
                <w:szCs w:val="26"/>
              </w:rPr>
              <w:t>- Đối với đề xuất về biểu mẫu và lộ trình chuyển đổi số, cơ quan soạn thảo xin tiếp thu và thực hiện cụ thể hóa bằng văn bản hướng dẫn chi tiết thi hành sau khi Quyết định được ban hành, nhằm bảo đảm tính thuận tiện, phù hợp với điều kiện thực tiễn tại cấp xã.</w:t>
            </w:r>
          </w:p>
          <w:p w14:paraId="1D2B3B7C" w14:textId="77777777" w:rsidR="00455205" w:rsidRDefault="00455205" w:rsidP="00455205">
            <w:pPr>
              <w:pStyle w:val="NormalWeb"/>
              <w:spacing w:before="0" w:beforeAutospacing="0" w:after="120" w:afterAutospacing="0"/>
              <w:jc w:val="both"/>
              <w:rPr>
                <w:color w:val="000000"/>
                <w:spacing w:val="-2"/>
                <w:sz w:val="26"/>
                <w:szCs w:val="26"/>
              </w:rPr>
            </w:pPr>
          </w:p>
          <w:p w14:paraId="79956499" w14:textId="1AC024EB" w:rsidR="00455205" w:rsidRPr="00455205" w:rsidRDefault="00455205" w:rsidP="00455205">
            <w:pPr>
              <w:pStyle w:val="NormalWeb"/>
              <w:spacing w:before="0" w:beforeAutospacing="0" w:after="120" w:afterAutospacing="0"/>
              <w:jc w:val="both"/>
              <w:rPr>
                <w:b/>
                <w:bCs/>
                <w:color w:val="000000"/>
                <w:spacing w:val="-2"/>
                <w:sz w:val="26"/>
                <w:szCs w:val="26"/>
              </w:rPr>
            </w:pPr>
          </w:p>
        </w:tc>
      </w:tr>
      <w:tr w:rsidR="00A66858" w:rsidRPr="0083245E" w14:paraId="3DF7931A" w14:textId="77777777" w:rsidTr="00D47515">
        <w:tc>
          <w:tcPr>
            <w:tcW w:w="567" w:type="dxa"/>
            <w:vAlign w:val="center"/>
          </w:tcPr>
          <w:p w14:paraId="786DACE7" w14:textId="5DD316D9" w:rsidR="00A66858" w:rsidRPr="00455205" w:rsidRDefault="00A66858" w:rsidP="00455205">
            <w:pPr>
              <w:spacing w:after="120"/>
              <w:jc w:val="center"/>
              <w:rPr>
                <w:rFonts w:cs="Times New Roman"/>
                <w:sz w:val="26"/>
                <w:szCs w:val="26"/>
              </w:rPr>
            </w:pPr>
            <w:r w:rsidRPr="00455205">
              <w:rPr>
                <w:rFonts w:cs="Times New Roman"/>
                <w:sz w:val="26"/>
                <w:szCs w:val="26"/>
              </w:rPr>
              <w:t>7</w:t>
            </w:r>
          </w:p>
        </w:tc>
        <w:tc>
          <w:tcPr>
            <w:tcW w:w="1134" w:type="dxa"/>
            <w:vAlign w:val="center"/>
          </w:tcPr>
          <w:p w14:paraId="228F0BE3" w14:textId="43F1CC0A" w:rsidR="00A66858" w:rsidRPr="00455205" w:rsidRDefault="00A66858" w:rsidP="00455205">
            <w:pPr>
              <w:spacing w:after="120"/>
              <w:jc w:val="center"/>
              <w:rPr>
                <w:rFonts w:cs="Times New Roman"/>
                <w:sz w:val="26"/>
                <w:szCs w:val="26"/>
              </w:rPr>
            </w:pPr>
            <w:r w:rsidRPr="00455205">
              <w:rPr>
                <w:rFonts w:cs="Times New Roman"/>
                <w:sz w:val="26"/>
                <w:szCs w:val="26"/>
              </w:rPr>
              <w:t>UBND xã Quốc Việt</w:t>
            </w:r>
          </w:p>
        </w:tc>
        <w:tc>
          <w:tcPr>
            <w:tcW w:w="1985" w:type="dxa"/>
            <w:vAlign w:val="center"/>
          </w:tcPr>
          <w:p w14:paraId="64C7C194" w14:textId="18F696D6" w:rsidR="00A66858" w:rsidRPr="00455205" w:rsidRDefault="00A66858" w:rsidP="00455205">
            <w:pPr>
              <w:spacing w:before="120" w:after="120" w:line="400" w:lineRule="exact"/>
              <w:jc w:val="center"/>
              <w:rPr>
                <w:rFonts w:cs="Times New Roman"/>
                <w:sz w:val="26"/>
                <w:szCs w:val="26"/>
              </w:rPr>
            </w:pPr>
            <w:r w:rsidRPr="00455205">
              <w:rPr>
                <w:rFonts w:cs="Times New Roman"/>
                <w:sz w:val="26"/>
                <w:szCs w:val="26"/>
              </w:rPr>
              <w:t>Công văn số 220/UBND-KT ngày 27/02/2026</w:t>
            </w:r>
          </w:p>
        </w:tc>
        <w:tc>
          <w:tcPr>
            <w:tcW w:w="5812" w:type="dxa"/>
          </w:tcPr>
          <w:p w14:paraId="60267146" w14:textId="77777777" w:rsidR="00A66858" w:rsidRPr="00455205" w:rsidRDefault="00A66858" w:rsidP="00455205">
            <w:pPr>
              <w:spacing w:after="120"/>
              <w:rPr>
                <w:rFonts w:cs="Times New Roman"/>
                <w:b/>
                <w:bCs/>
                <w:color w:val="000000"/>
                <w:sz w:val="26"/>
                <w:szCs w:val="26"/>
              </w:rPr>
            </w:pPr>
            <w:r w:rsidRPr="00455205">
              <w:rPr>
                <w:rFonts w:cs="Times New Roman"/>
                <w:b/>
                <w:bCs/>
                <w:color w:val="000000"/>
                <w:sz w:val="26"/>
                <w:szCs w:val="26"/>
              </w:rPr>
              <w:t>1. Chỉnh sửa lỗi tại mục "nơi nhận" ở Điều 5</w:t>
            </w:r>
          </w:p>
          <w:p w14:paraId="5E5A3ADB" w14:textId="3DD46252" w:rsidR="00A66858" w:rsidRPr="00455205" w:rsidRDefault="00A66858" w:rsidP="00455205">
            <w:pPr>
              <w:spacing w:after="120"/>
              <w:rPr>
                <w:rFonts w:cs="Times New Roman"/>
                <w:b/>
                <w:bCs/>
                <w:color w:val="000000"/>
                <w:sz w:val="26"/>
                <w:szCs w:val="26"/>
              </w:rPr>
            </w:pPr>
          </w:p>
        </w:tc>
        <w:tc>
          <w:tcPr>
            <w:tcW w:w="5386" w:type="dxa"/>
            <w:gridSpan w:val="2"/>
            <w:vAlign w:val="center"/>
          </w:tcPr>
          <w:p w14:paraId="1CFB8405" w14:textId="77777777" w:rsidR="00A66858" w:rsidRPr="00455205" w:rsidRDefault="00A66858" w:rsidP="00455205">
            <w:pPr>
              <w:pStyle w:val="NormalWeb"/>
              <w:spacing w:before="0" w:beforeAutospacing="0" w:after="120" w:afterAutospacing="0"/>
              <w:rPr>
                <w:b/>
                <w:bCs/>
                <w:color w:val="000000"/>
                <w:spacing w:val="-2"/>
                <w:sz w:val="26"/>
                <w:szCs w:val="26"/>
              </w:rPr>
            </w:pPr>
            <w:r w:rsidRPr="00455205">
              <w:rPr>
                <w:b/>
                <w:bCs/>
                <w:color w:val="000000"/>
                <w:spacing w:val="-2"/>
                <w:sz w:val="26"/>
                <w:szCs w:val="26"/>
              </w:rPr>
              <w:t>1. Đã tiếp thu, chỉnh sửa</w:t>
            </w:r>
          </w:p>
          <w:p w14:paraId="5BB95CE4" w14:textId="77777777" w:rsidR="00A66858" w:rsidRPr="00455205" w:rsidRDefault="00A66858" w:rsidP="00455205">
            <w:pPr>
              <w:pStyle w:val="NormalWeb"/>
              <w:spacing w:before="0" w:beforeAutospacing="0" w:after="120" w:afterAutospacing="0"/>
              <w:jc w:val="center"/>
              <w:rPr>
                <w:b/>
                <w:bCs/>
                <w:color w:val="000000"/>
                <w:spacing w:val="-2"/>
                <w:sz w:val="26"/>
                <w:szCs w:val="26"/>
              </w:rPr>
            </w:pPr>
          </w:p>
          <w:p w14:paraId="79EE8345" w14:textId="77777777" w:rsidR="00A66858" w:rsidRPr="00455205" w:rsidRDefault="00A66858" w:rsidP="00455205">
            <w:pPr>
              <w:pStyle w:val="NormalWeb"/>
              <w:spacing w:before="0" w:beforeAutospacing="0" w:after="120" w:afterAutospacing="0"/>
              <w:jc w:val="center"/>
              <w:rPr>
                <w:b/>
                <w:bCs/>
                <w:color w:val="000000"/>
                <w:spacing w:val="-2"/>
                <w:sz w:val="26"/>
                <w:szCs w:val="26"/>
              </w:rPr>
            </w:pPr>
          </w:p>
          <w:p w14:paraId="7766B69B" w14:textId="77777777" w:rsidR="00A66858" w:rsidRPr="00455205" w:rsidRDefault="00A66858" w:rsidP="00455205">
            <w:pPr>
              <w:pStyle w:val="NormalWeb"/>
              <w:spacing w:before="0" w:beforeAutospacing="0" w:after="120" w:afterAutospacing="0"/>
              <w:jc w:val="center"/>
              <w:rPr>
                <w:b/>
                <w:bCs/>
                <w:color w:val="000000"/>
                <w:spacing w:val="-2"/>
                <w:sz w:val="26"/>
                <w:szCs w:val="26"/>
              </w:rPr>
            </w:pPr>
          </w:p>
          <w:p w14:paraId="4690D992" w14:textId="577C9F58" w:rsidR="00A66858" w:rsidRPr="00455205" w:rsidRDefault="00A66858" w:rsidP="00455205">
            <w:pPr>
              <w:pStyle w:val="NormalWeb"/>
              <w:spacing w:before="0" w:beforeAutospacing="0" w:after="120" w:afterAutospacing="0"/>
              <w:jc w:val="center"/>
              <w:rPr>
                <w:b/>
                <w:bCs/>
                <w:color w:val="000000"/>
                <w:spacing w:val="-2"/>
                <w:sz w:val="26"/>
                <w:szCs w:val="26"/>
              </w:rPr>
            </w:pPr>
          </w:p>
        </w:tc>
      </w:tr>
      <w:tr w:rsidR="00A66858" w:rsidRPr="0083245E" w14:paraId="7BF9D177" w14:textId="77777777" w:rsidTr="00D47515">
        <w:tc>
          <w:tcPr>
            <w:tcW w:w="567" w:type="dxa"/>
            <w:vAlign w:val="center"/>
          </w:tcPr>
          <w:p w14:paraId="03E608FB" w14:textId="624A1619" w:rsidR="00A66858" w:rsidRPr="00455205" w:rsidRDefault="00624B2C" w:rsidP="00455205">
            <w:pPr>
              <w:spacing w:after="120"/>
              <w:jc w:val="center"/>
              <w:rPr>
                <w:rFonts w:cs="Times New Roman"/>
                <w:sz w:val="26"/>
                <w:szCs w:val="26"/>
              </w:rPr>
            </w:pPr>
            <w:r w:rsidRPr="00455205">
              <w:rPr>
                <w:rFonts w:cs="Times New Roman"/>
                <w:sz w:val="26"/>
                <w:szCs w:val="26"/>
              </w:rPr>
              <w:t>8</w:t>
            </w:r>
          </w:p>
        </w:tc>
        <w:tc>
          <w:tcPr>
            <w:tcW w:w="1134" w:type="dxa"/>
            <w:vAlign w:val="center"/>
          </w:tcPr>
          <w:p w14:paraId="2AF347A6" w14:textId="4038AB77" w:rsidR="00A66858" w:rsidRPr="00455205" w:rsidRDefault="00A66858" w:rsidP="00455205">
            <w:pPr>
              <w:spacing w:after="120"/>
              <w:jc w:val="center"/>
              <w:rPr>
                <w:rFonts w:cs="Times New Roman"/>
                <w:sz w:val="26"/>
                <w:szCs w:val="26"/>
              </w:rPr>
            </w:pPr>
            <w:r w:rsidRPr="00455205">
              <w:rPr>
                <w:rFonts w:cs="Times New Roman"/>
                <w:sz w:val="26"/>
                <w:szCs w:val="26"/>
              </w:rPr>
              <w:t>UBND phường Tam Thanh</w:t>
            </w:r>
          </w:p>
        </w:tc>
        <w:tc>
          <w:tcPr>
            <w:tcW w:w="1985" w:type="dxa"/>
            <w:vAlign w:val="center"/>
          </w:tcPr>
          <w:p w14:paraId="52106333" w14:textId="080957D0" w:rsidR="00A66858" w:rsidRPr="00455205" w:rsidRDefault="00A66858" w:rsidP="00455205">
            <w:pPr>
              <w:spacing w:before="120" w:after="120" w:line="400" w:lineRule="exact"/>
              <w:jc w:val="center"/>
              <w:rPr>
                <w:rFonts w:cs="Times New Roman"/>
                <w:sz w:val="26"/>
                <w:szCs w:val="26"/>
              </w:rPr>
            </w:pPr>
            <w:r w:rsidRPr="00455205">
              <w:rPr>
                <w:rFonts w:cs="Times New Roman"/>
                <w:sz w:val="26"/>
                <w:szCs w:val="26"/>
              </w:rPr>
              <w:t>Công văn số 322/UBND-KTHTĐT ngày 27/02/2026</w:t>
            </w:r>
          </w:p>
        </w:tc>
        <w:tc>
          <w:tcPr>
            <w:tcW w:w="5812" w:type="dxa"/>
          </w:tcPr>
          <w:p w14:paraId="59BA88B2" w14:textId="399EDB33" w:rsidR="00A66858" w:rsidRPr="00455205" w:rsidRDefault="00A66858" w:rsidP="00455205">
            <w:pPr>
              <w:spacing w:after="120"/>
              <w:jc w:val="both"/>
              <w:rPr>
                <w:rFonts w:cs="Times New Roman"/>
                <w:b/>
                <w:bCs/>
                <w:color w:val="000000"/>
                <w:sz w:val="26"/>
                <w:szCs w:val="26"/>
              </w:rPr>
            </w:pPr>
            <w:r w:rsidRPr="00455205">
              <w:rPr>
                <w:rFonts w:cs="Times New Roman"/>
                <w:b/>
                <w:bCs/>
                <w:color w:val="000000"/>
                <w:sz w:val="26"/>
                <w:szCs w:val="26"/>
              </w:rPr>
              <w:t xml:space="preserve">1. Đề nghị xem xét: </w:t>
            </w:r>
            <w:r w:rsidRPr="00455205">
              <w:rPr>
                <w:rFonts w:cs="Times New Roman"/>
                <w:color w:val="000000"/>
                <w:sz w:val="26"/>
                <w:szCs w:val="26"/>
              </w:rPr>
              <w:t>đưa thêm trách nhiệm của Công ty Điện lực Lạng Sơn trong công tác quản lý cây xanh bảo vệ hành lang an toàn lưới điện theo quy định tại Nghị định số 14/2014/NĐ-CP ngày 26/02/2014 của Chính phủ quy định chi tiết thi hành Luật Điện lực về an toàn điện.</w:t>
            </w:r>
          </w:p>
        </w:tc>
        <w:tc>
          <w:tcPr>
            <w:tcW w:w="5386" w:type="dxa"/>
            <w:gridSpan w:val="2"/>
          </w:tcPr>
          <w:p w14:paraId="1CCA2EBC" w14:textId="25859D45" w:rsidR="00D47515" w:rsidRPr="00455205" w:rsidRDefault="0042698E" w:rsidP="00455205">
            <w:pPr>
              <w:pStyle w:val="NormalWeb"/>
              <w:spacing w:before="0" w:beforeAutospacing="0" w:after="120" w:afterAutospacing="0"/>
              <w:jc w:val="both"/>
              <w:rPr>
                <w:b/>
                <w:bCs/>
                <w:sz w:val="26"/>
                <w:szCs w:val="26"/>
              </w:rPr>
            </w:pPr>
            <w:r w:rsidRPr="00455205">
              <w:rPr>
                <w:b/>
                <w:bCs/>
                <w:color w:val="000000"/>
                <w:spacing w:val="-2"/>
                <w:sz w:val="26"/>
                <w:szCs w:val="26"/>
              </w:rPr>
              <w:t>1</w:t>
            </w:r>
            <w:r w:rsidR="00D47515" w:rsidRPr="00455205">
              <w:rPr>
                <w:b/>
                <w:bCs/>
                <w:color w:val="000000"/>
                <w:spacing w:val="-2"/>
                <w:sz w:val="26"/>
                <w:szCs w:val="26"/>
              </w:rPr>
              <w:t xml:space="preserve">. </w:t>
            </w:r>
            <w:r w:rsidR="00D47515" w:rsidRPr="00455205">
              <w:rPr>
                <w:b/>
                <w:bCs/>
                <w:sz w:val="26"/>
                <w:szCs w:val="26"/>
              </w:rPr>
              <w:t xml:space="preserve">Đề nghị giữ nguyên theo nội dung dự thảo và giải trình như sau: </w:t>
            </w:r>
          </w:p>
          <w:p w14:paraId="49E5FF27" w14:textId="77777777" w:rsidR="00A66858" w:rsidRPr="00455205" w:rsidRDefault="0042698E" w:rsidP="00455205">
            <w:pPr>
              <w:pStyle w:val="NormalWeb"/>
              <w:spacing w:before="0" w:beforeAutospacing="0" w:after="120" w:afterAutospacing="0"/>
              <w:jc w:val="both"/>
              <w:rPr>
                <w:sz w:val="26"/>
                <w:szCs w:val="26"/>
              </w:rPr>
            </w:pPr>
            <w:r w:rsidRPr="00455205">
              <w:rPr>
                <w:sz w:val="26"/>
                <w:szCs w:val="26"/>
              </w:rPr>
              <w:t>Đề xuất của UBND phường Tam Thanh về việc bổ sung trách nhiệm của Công ty Điện lực Lạng Sơn vào dự thảo Quyết định tỉnh là có cơ sở thực tiễn do cây xanh thường liên quan đến hành lang an toàn lưới điện. Tuy nhiên, Dự thảo chỉ nhằm cụ thể hóa Nghị định 258/2025/NĐ-CP theo hướng phân công, phân cấp quản lý nhà nước giữa các cấp chính quyền, không điều chỉnh trực tiếp trách nhiệm doanh nghiệp ngành điện; trong khi đó, trách nhiệm của đơn vị điện lực và cơ chế phối hợp với chính quyền địa phương đã được quy định cụ thể tại Nghị định 62/2025/NĐ-CP, được sửa đổi, bổ sung tại Nghị định 139/2025/NĐ-CP. Vì vậy, đề nghị giữ nguyên nội dung dự thảo để bảo đảm thống nhất, tránh chồng chéo và thuận lợi khi triển khai thực hiện.</w:t>
            </w:r>
          </w:p>
          <w:p w14:paraId="641B0774" w14:textId="53340117" w:rsidR="00624B2C" w:rsidRPr="00455205" w:rsidRDefault="00624B2C" w:rsidP="00455205">
            <w:pPr>
              <w:pStyle w:val="NormalWeb"/>
              <w:spacing w:before="0" w:beforeAutospacing="0" w:after="120" w:afterAutospacing="0"/>
              <w:jc w:val="both"/>
              <w:rPr>
                <w:color w:val="000000"/>
                <w:spacing w:val="-2"/>
                <w:sz w:val="26"/>
                <w:szCs w:val="26"/>
              </w:rPr>
            </w:pPr>
          </w:p>
        </w:tc>
      </w:tr>
      <w:tr w:rsidR="00624B2C" w:rsidRPr="0083245E" w14:paraId="5A2D06C9" w14:textId="77777777" w:rsidTr="00D47515">
        <w:tc>
          <w:tcPr>
            <w:tcW w:w="567" w:type="dxa"/>
            <w:vAlign w:val="center"/>
          </w:tcPr>
          <w:p w14:paraId="6FCFDA19" w14:textId="4F3E9D4A" w:rsidR="00624B2C" w:rsidRPr="00455205" w:rsidRDefault="00624B2C" w:rsidP="00455205">
            <w:pPr>
              <w:spacing w:after="120"/>
              <w:jc w:val="center"/>
              <w:rPr>
                <w:rFonts w:cs="Times New Roman"/>
                <w:sz w:val="26"/>
                <w:szCs w:val="26"/>
              </w:rPr>
            </w:pPr>
            <w:r w:rsidRPr="00455205">
              <w:rPr>
                <w:rFonts w:cs="Times New Roman"/>
                <w:sz w:val="26"/>
                <w:szCs w:val="26"/>
              </w:rPr>
              <w:t>9</w:t>
            </w:r>
          </w:p>
        </w:tc>
        <w:tc>
          <w:tcPr>
            <w:tcW w:w="1134" w:type="dxa"/>
            <w:vAlign w:val="center"/>
          </w:tcPr>
          <w:p w14:paraId="13EEF1BD" w14:textId="29EFDB7D" w:rsidR="00624B2C" w:rsidRPr="00455205" w:rsidRDefault="00624B2C" w:rsidP="00455205">
            <w:pPr>
              <w:spacing w:after="120"/>
              <w:jc w:val="center"/>
              <w:rPr>
                <w:rFonts w:cs="Times New Roman"/>
                <w:sz w:val="26"/>
                <w:szCs w:val="26"/>
              </w:rPr>
            </w:pPr>
            <w:r w:rsidRPr="00455205">
              <w:rPr>
                <w:rFonts w:cs="Times New Roman"/>
                <w:sz w:val="26"/>
                <w:szCs w:val="26"/>
              </w:rPr>
              <w:t xml:space="preserve">UBND xã Yên Bình </w:t>
            </w:r>
          </w:p>
        </w:tc>
        <w:tc>
          <w:tcPr>
            <w:tcW w:w="1985" w:type="dxa"/>
            <w:vAlign w:val="center"/>
          </w:tcPr>
          <w:p w14:paraId="50BC8E7D" w14:textId="5CE37B4E" w:rsidR="00624B2C" w:rsidRPr="00455205" w:rsidRDefault="00624B2C" w:rsidP="00455205">
            <w:pPr>
              <w:spacing w:before="120" w:after="120" w:line="400" w:lineRule="exact"/>
              <w:jc w:val="center"/>
              <w:rPr>
                <w:rFonts w:cs="Times New Roman"/>
                <w:sz w:val="26"/>
                <w:szCs w:val="26"/>
              </w:rPr>
            </w:pPr>
            <w:r w:rsidRPr="00455205">
              <w:rPr>
                <w:rFonts w:cs="Times New Roman"/>
                <w:sz w:val="26"/>
                <w:szCs w:val="26"/>
              </w:rPr>
              <w:t>Công văn số 206/UBND-KT ngày 27/02/2026</w:t>
            </w:r>
          </w:p>
        </w:tc>
        <w:tc>
          <w:tcPr>
            <w:tcW w:w="5812" w:type="dxa"/>
          </w:tcPr>
          <w:p w14:paraId="6CB33F67" w14:textId="66C2CAC9" w:rsidR="00624B2C" w:rsidRPr="00455205" w:rsidRDefault="00624B2C" w:rsidP="00455205">
            <w:pPr>
              <w:spacing w:after="120"/>
              <w:jc w:val="both"/>
              <w:rPr>
                <w:rFonts w:cs="Times New Roman"/>
                <w:b/>
                <w:bCs/>
                <w:color w:val="000000"/>
                <w:sz w:val="26"/>
                <w:szCs w:val="26"/>
              </w:rPr>
            </w:pPr>
            <w:r w:rsidRPr="00455205">
              <w:rPr>
                <w:rFonts w:cs="Times New Roman"/>
                <w:b/>
                <w:bCs/>
                <w:color w:val="000000"/>
                <w:sz w:val="26"/>
                <w:szCs w:val="26"/>
              </w:rPr>
              <w:t xml:space="preserve">1. Về thể thức, kỹ thuật trình bày: </w:t>
            </w:r>
            <w:r w:rsidRPr="00455205">
              <w:rPr>
                <w:rFonts w:cs="Times New Roman"/>
                <w:color w:val="000000"/>
                <w:sz w:val="26"/>
                <w:szCs w:val="26"/>
              </w:rPr>
              <w:t>Đề nghị rà soát lại phần “Nơi nhận” của Quyết định, chỉnh sửa “Như Điều 5” thành “Như Điều 3” cho phù hợp với số điều của Quyết định.</w:t>
            </w:r>
          </w:p>
        </w:tc>
        <w:tc>
          <w:tcPr>
            <w:tcW w:w="5386" w:type="dxa"/>
            <w:gridSpan w:val="2"/>
          </w:tcPr>
          <w:p w14:paraId="2DE4186A" w14:textId="77777777" w:rsidR="009C5D3B" w:rsidRPr="00455205" w:rsidRDefault="009C5D3B" w:rsidP="00455205">
            <w:pPr>
              <w:pStyle w:val="NormalWeb"/>
              <w:spacing w:before="0" w:beforeAutospacing="0" w:after="120" w:afterAutospacing="0"/>
              <w:rPr>
                <w:b/>
                <w:bCs/>
                <w:color w:val="000000"/>
                <w:spacing w:val="-2"/>
                <w:sz w:val="26"/>
                <w:szCs w:val="26"/>
              </w:rPr>
            </w:pPr>
            <w:r w:rsidRPr="00455205">
              <w:rPr>
                <w:b/>
                <w:bCs/>
                <w:color w:val="000000"/>
                <w:spacing w:val="-2"/>
                <w:sz w:val="26"/>
                <w:szCs w:val="26"/>
              </w:rPr>
              <w:t>1. Đã tiếp thu, chỉnh sửa</w:t>
            </w:r>
          </w:p>
          <w:p w14:paraId="33944522" w14:textId="77777777" w:rsidR="00624B2C" w:rsidRPr="00455205" w:rsidRDefault="00624B2C" w:rsidP="00455205">
            <w:pPr>
              <w:pStyle w:val="NormalWeb"/>
              <w:spacing w:before="0" w:beforeAutospacing="0" w:after="120" w:afterAutospacing="0"/>
              <w:jc w:val="both"/>
              <w:rPr>
                <w:b/>
                <w:bCs/>
                <w:color w:val="000000"/>
                <w:spacing w:val="-2"/>
                <w:sz w:val="26"/>
                <w:szCs w:val="26"/>
              </w:rPr>
            </w:pPr>
          </w:p>
        </w:tc>
      </w:tr>
      <w:tr w:rsidR="00A66858" w:rsidRPr="0083245E" w14:paraId="446F9F09" w14:textId="77777777" w:rsidTr="00694ADF">
        <w:tc>
          <w:tcPr>
            <w:tcW w:w="567" w:type="dxa"/>
            <w:vAlign w:val="center"/>
          </w:tcPr>
          <w:p w14:paraId="2F84BAAE" w14:textId="77777777" w:rsidR="00A66858" w:rsidRPr="00455205" w:rsidRDefault="00A66858" w:rsidP="00455205">
            <w:pPr>
              <w:spacing w:after="120"/>
              <w:jc w:val="center"/>
              <w:rPr>
                <w:rFonts w:cs="Times New Roman"/>
                <w:b/>
                <w:sz w:val="26"/>
                <w:szCs w:val="26"/>
              </w:rPr>
            </w:pPr>
            <w:r w:rsidRPr="00455205">
              <w:rPr>
                <w:rFonts w:cs="Times New Roman"/>
                <w:b/>
                <w:sz w:val="26"/>
                <w:szCs w:val="26"/>
              </w:rPr>
              <w:t>II</w:t>
            </w:r>
          </w:p>
        </w:tc>
        <w:tc>
          <w:tcPr>
            <w:tcW w:w="14317" w:type="dxa"/>
            <w:gridSpan w:val="5"/>
          </w:tcPr>
          <w:p w14:paraId="11FA60EF" w14:textId="6FC9D06C" w:rsidR="00A66858" w:rsidRPr="00455205" w:rsidRDefault="00A66858" w:rsidP="00455205">
            <w:pPr>
              <w:spacing w:after="120"/>
              <w:rPr>
                <w:rFonts w:cs="Times New Roman"/>
                <w:b/>
                <w:sz w:val="26"/>
                <w:szCs w:val="26"/>
              </w:rPr>
            </w:pPr>
            <w:r w:rsidRPr="00455205">
              <w:rPr>
                <w:rFonts w:cs="Times New Roman"/>
                <w:b/>
                <w:sz w:val="26"/>
                <w:szCs w:val="26"/>
              </w:rPr>
              <w:t xml:space="preserve">Các cơ quan nhất trí với dự thảo: </w:t>
            </w:r>
            <w:r w:rsidR="0012302C" w:rsidRPr="00455205">
              <w:rPr>
                <w:rFonts w:cs="Times New Roman"/>
                <w:b/>
                <w:sz w:val="26"/>
                <w:szCs w:val="26"/>
              </w:rPr>
              <w:t>4</w:t>
            </w:r>
            <w:r w:rsidR="00DE1C35">
              <w:rPr>
                <w:rFonts w:cs="Times New Roman"/>
                <w:b/>
                <w:sz w:val="26"/>
                <w:szCs w:val="26"/>
              </w:rPr>
              <w:t>4</w:t>
            </w:r>
            <w:r w:rsidRPr="00455205">
              <w:rPr>
                <w:rFonts w:cs="Times New Roman"/>
                <w:b/>
                <w:sz w:val="26"/>
                <w:szCs w:val="26"/>
              </w:rPr>
              <w:t>/</w:t>
            </w:r>
            <w:r w:rsidR="00717254" w:rsidRPr="00455205">
              <w:rPr>
                <w:rFonts w:cs="Times New Roman"/>
                <w:b/>
                <w:sz w:val="26"/>
                <w:szCs w:val="26"/>
              </w:rPr>
              <w:t>7</w:t>
            </w:r>
            <w:r w:rsidR="0012302C" w:rsidRPr="00455205">
              <w:rPr>
                <w:rFonts w:cs="Times New Roman"/>
                <w:b/>
                <w:sz w:val="26"/>
                <w:szCs w:val="26"/>
              </w:rPr>
              <w:t>2</w:t>
            </w:r>
          </w:p>
          <w:p w14:paraId="2AE4933D" w14:textId="545D703D" w:rsidR="00A66858" w:rsidRPr="00455205" w:rsidRDefault="00A66858" w:rsidP="00455205">
            <w:pPr>
              <w:spacing w:after="120"/>
              <w:jc w:val="both"/>
              <w:rPr>
                <w:rFonts w:cs="Times New Roman"/>
                <w:bCs/>
                <w:sz w:val="26"/>
                <w:szCs w:val="26"/>
              </w:rPr>
            </w:pPr>
            <w:r w:rsidRPr="00455205">
              <w:rPr>
                <w:rFonts w:cs="Times New Roman"/>
                <w:bCs/>
                <w:sz w:val="26"/>
                <w:szCs w:val="26"/>
              </w:rPr>
              <w:t>- Các sở, ngành: Sở Khoa học và công nghệ, Ban Quản lý khu kinh tế cửa khẩu Đồng Đăng - Lạng Sơn</w:t>
            </w:r>
            <w:r w:rsidR="0012302C" w:rsidRPr="00455205">
              <w:rPr>
                <w:rFonts w:cs="Times New Roman"/>
                <w:bCs/>
                <w:sz w:val="26"/>
                <w:szCs w:val="26"/>
              </w:rPr>
              <w:t>.</w:t>
            </w:r>
          </w:p>
          <w:p w14:paraId="4D655B62" w14:textId="0322E918" w:rsidR="00A66858" w:rsidRPr="00455205" w:rsidRDefault="00A66858" w:rsidP="00455205">
            <w:pPr>
              <w:spacing w:after="120"/>
              <w:jc w:val="both"/>
              <w:rPr>
                <w:rFonts w:cs="Times New Roman"/>
                <w:color w:val="FF0000"/>
                <w:sz w:val="26"/>
                <w:szCs w:val="26"/>
              </w:rPr>
            </w:pPr>
            <w:r w:rsidRPr="00455205">
              <w:rPr>
                <w:rFonts w:cs="Times New Roman"/>
                <w:sz w:val="26"/>
                <w:szCs w:val="26"/>
              </w:rPr>
              <w:t xml:space="preserve">- UBND các xã, phường: </w:t>
            </w:r>
            <w:r w:rsidR="001A1F21" w:rsidRPr="00455205">
              <w:rPr>
                <w:rFonts w:cs="Times New Roman"/>
                <w:sz w:val="26"/>
                <w:szCs w:val="26"/>
              </w:rPr>
              <w:t>Đoàn Kết, Tràng Định, Kháng Chiến, Bình Gia, Tân Văn, Quý Hoà, Thiện Hoà, Thiện Thuật, Hưng Vũ, Nhất Hoà, Vũ Lễ, Tân  Tri, Văn Quan, Điềm He, Tri Lễ, Tân Đoàn, Na Sầm, Hoàng Văn Thụ, Văn Lãng, Hội Hoan, Lộc Bình, Lợi Bác, Thống Nhất, Xuân Dương, Khuất Xá, Đình Lập, Thái Bình, Châu Sơn, Kiên Mộc, Hữu Lũng, Thiện Tân, Cai Kinh, Chi Lăng, Quan Sơn, Chiến Thắng, Bằng Mạc, Vạn Linh, Cao Lộc, Công Sơn, Ba Sơn, Kỳ Lừa</w:t>
            </w:r>
            <w:r w:rsidR="00DE1C35">
              <w:rPr>
                <w:rFonts w:cs="Times New Roman"/>
                <w:sz w:val="26"/>
                <w:szCs w:val="26"/>
              </w:rPr>
              <w:t>, Lương Văn Tri</w:t>
            </w:r>
            <w:r w:rsidR="001A1F21" w:rsidRPr="00455205">
              <w:rPr>
                <w:rFonts w:cs="Times New Roman"/>
                <w:sz w:val="26"/>
                <w:szCs w:val="26"/>
              </w:rPr>
              <w:t>.</w:t>
            </w:r>
          </w:p>
        </w:tc>
      </w:tr>
      <w:tr w:rsidR="00A66858" w:rsidRPr="00B44F43" w14:paraId="5D941175" w14:textId="77777777" w:rsidTr="00BE2F30">
        <w:trPr>
          <w:trHeight w:val="695"/>
        </w:trPr>
        <w:tc>
          <w:tcPr>
            <w:tcW w:w="567" w:type="dxa"/>
            <w:vAlign w:val="center"/>
          </w:tcPr>
          <w:p w14:paraId="0934ED58" w14:textId="77777777" w:rsidR="00A66858" w:rsidRPr="00455205" w:rsidRDefault="00A66858" w:rsidP="00455205">
            <w:pPr>
              <w:spacing w:after="120"/>
              <w:jc w:val="center"/>
              <w:rPr>
                <w:rFonts w:cs="Times New Roman"/>
                <w:b/>
                <w:sz w:val="26"/>
                <w:szCs w:val="26"/>
              </w:rPr>
            </w:pPr>
            <w:r w:rsidRPr="00455205">
              <w:rPr>
                <w:rFonts w:cs="Times New Roman"/>
                <w:b/>
                <w:sz w:val="26"/>
                <w:szCs w:val="26"/>
              </w:rPr>
              <w:t>III</w:t>
            </w:r>
          </w:p>
        </w:tc>
        <w:tc>
          <w:tcPr>
            <w:tcW w:w="14317" w:type="dxa"/>
            <w:gridSpan w:val="5"/>
          </w:tcPr>
          <w:p w14:paraId="4E8210F9" w14:textId="248BF7A8" w:rsidR="00A66858" w:rsidRPr="00455205" w:rsidRDefault="00A66858" w:rsidP="00455205">
            <w:pPr>
              <w:spacing w:after="120"/>
              <w:jc w:val="both"/>
              <w:rPr>
                <w:rFonts w:cs="Times New Roman"/>
                <w:b/>
                <w:sz w:val="26"/>
                <w:szCs w:val="26"/>
              </w:rPr>
            </w:pPr>
            <w:r w:rsidRPr="00455205">
              <w:rPr>
                <w:rFonts w:cs="Times New Roman"/>
                <w:b/>
                <w:sz w:val="26"/>
                <w:szCs w:val="26"/>
              </w:rPr>
              <w:t xml:space="preserve">Các đơn vị chưa có ý kiến góp ý: </w:t>
            </w:r>
            <w:r w:rsidR="00DE1C35">
              <w:rPr>
                <w:rFonts w:cs="Times New Roman"/>
                <w:b/>
                <w:sz w:val="26"/>
                <w:szCs w:val="26"/>
              </w:rPr>
              <w:t>19</w:t>
            </w:r>
            <w:r w:rsidRPr="00455205">
              <w:rPr>
                <w:rFonts w:cs="Times New Roman"/>
                <w:b/>
                <w:sz w:val="26"/>
                <w:szCs w:val="26"/>
              </w:rPr>
              <w:t>/</w:t>
            </w:r>
            <w:r w:rsidR="0012302C" w:rsidRPr="00455205">
              <w:rPr>
                <w:rFonts w:cs="Times New Roman"/>
                <w:b/>
                <w:sz w:val="26"/>
                <w:szCs w:val="26"/>
              </w:rPr>
              <w:t>7</w:t>
            </w:r>
            <w:r w:rsidR="00143E33">
              <w:rPr>
                <w:rFonts w:cs="Times New Roman"/>
                <w:b/>
                <w:sz w:val="26"/>
                <w:szCs w:val="26"/>
              </w:rPr>
              <w:t>2</w:t>
            </w:r>
            <w:r w:rsidRPr="00455205">
              <w:rPr>
                <w:rFonts w:cs="Times New Roman"/>
                <w:sz w:val="26"/>
                <w:szCs w:val="26"/>
              </w:rPr>
              <w:t xml:space="preserve"> </w:t>
            </w:r>
          </w:p>
          <w:p w14:paraId="6ED20FA6" w14:textId="6DE617ED" w:rsidR="00A66858" w:rsidRPr="00455205" w:rsidRDefault="00A66858" w:rsidP="00455205">
            <w:pPr>
              <w:spacing w:after="120"/>
              <w:jc w:val="both"/>
              <w:rPr>
                <w:rFonts w:cs="Times New Roman"/>
                <w:sz w:val="26"/>
                <w:szCs w:val="26"/>
              </w:rPr>
            </w:pPr>
            <w:r w:rsidRPr="00455205">
              <w:rPr>
                <w:rFonts w:cs="Times New Roman"/>
                <w:sz w:val="26"/>
                <w:szCs w:val="26"/>
              </w:rPr>
              <w:t>- Các sở, ngành: Sở Giáo dục và đào tạo</w:t>
            </w:r>
            <w:r w:rsidR="0012302C" w:rsidRPr="00455205">
              <w:rPr>
                <w:rFonts w:cs="Times New Roman"/>
                <w:sz w:val="26"/>
                <w:szCs w:val="26"/>
              </w:rPr>
              <w:t>.</w:t>
            </w:r>
          </w:p>
          <w:p w14:paraId="0BAF426D" w14:textId="2F3DFCEC" w:rsidR="00A66858" w:rsidRPr="00455205" w:rsidRDefault="00A66858" w:rsidP="00455205">
            <w:pPr>
              <w:spacing w:after="120"/>
              <w:jc w:val="both"/>
              <w:rPr>
                <w:rFonts w:cs="Times New Roman"/>
                <w:color w:val="FF0000"/>
                <w:sz w:val="26"/>
                <w:szCs w:val="26"/>
              </w:rPr>
            </w:pPr>
            <w:r w:rsidRPr="00455205">
              <w:rPr>
                <w:rFonts w:cs="Times New Roman"/>
                <w:sz w:val="26"/>
                <w:szCs w:val="26"/>
              </w:rPr>
              <w:t>- UBND các xã, phường:</w:t>
            </w:r>
            <w:r w:rsidR="00840600" w:rsidRPr="00455205">
              <w:rPr>
                <w:rFonts w:cs="Times New Roman"/>
                <w:color w:val="FF0000"/>
                <w:sz w:val="26"/>
                <w:szCs w:val="26"/>
              </w:rPr>
              <w:t xml:space="preserve"> </w:t>
            </w:r>
            <w:r w:rsidRPr="00455205">
              <w:rPr>
                <w:rFonts w:cs="Times New Roman"/>
                <w:sz w:val="26"/>
                <w:szCs w:val="26"/>
              </w:rPr>
              <w:t>Thất Khê,</w:t>
            </w:r>
            <w:r w:rsidR="0012302C" w:rsidRPr="00455205">
              <w:rPr>
                <w:rFonts w:cs="Times New Roman"/>
                <w:sz w:val="26"/>
                <w:szCs w:val="26"/>
              </w:rPr>
              <w:t xml:space="preserve"> Tân Tiến, Quốc Khánh, Hồng Phong, Hoa Thám, Thiện Long, Bắc Sơn, Vũ Lăng, Yên Phúc, Thuỵ Hùng, Mẫu Sơn, Na Dương, Tuấn Sơn, Tân Thành, Vân Nham, Hữu Liên, Nhân Lý,</w:t>
            </w:r>
            <w:r w:rsidRPr="00455205">
              <w:rPr>
                <w:rFonts w:cs="Times New Roman"/>
                <w:sz w:val="26"/>
                <w:szCs w:val="26"/>
              </w:rPr>
              <w:t xml:space="preserve"> Đồng Đăng, </w:t>
            </w:r>
            <w:r w:rsidR="0012302C" w:rsidRPr="00455205">
              <w:rPr>
                <w:rFonts w:cs="Times New Roman"/>
                <w:sz w:val="26"/>
                <w:szCs w:val="26"/>
              </w:rPr>
              <w:t>Đông Kinh</w:t>
            </w:r>
            <w:r w:rsidRPr="00455205">
              <w:rPr>
                <w:rFonts w:cs="Times New Roman"/>
                <w:sz w:val="26"/>
                <w:szCs w:val="26"/>
              </w:rPr>
              <w:t>.</w:t>
            </w:r>
          </w:p>
        </w:tc>
      </w:tr>
    </w:tbl>
    <w:p w14:paraId="146EA8BF" w14:textId="28A8B2D0" w:rsidR="003136BB" w:rsidRPr="00032EBF" w:rsidRDefault="00C37879" w:rsidP="005E6987">
      <w:pPr>
        <w:spacing w:after="0"/>
        <w:jc w:val="both"/>
        <w:rPr>
          <w:rFonts w:cs="Times New Roman"/>
          <w:sz w:val="24"/>
          <w:szCs w:val="24"/>
        </w:rPr>
      </w:pPr>
      <w:r w:rsidRPr="00032EBF">
        <w:rPr>
          <w:rFonts w:cs="Times New Roman"/>
          <w:sz w:val="24"/>
          <w:szCs w:val="24"/>
        </w:rPr>
        <w:tab/>
      </w:r>
    </w:p>
    <w:sectPr w:rsidR="003136BB" w:rsidRPr="00032EBF" w:rsidSect="00AE4594">
      <w:pgSz w:w="16838" w:h="11906" w:orient="landscape" w:code="9"/>
      <w:pgMar w:top="1134" w:right="851" w:bottom="851" w:left="1134"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D6E1D" w14:textId="77777777" w:rsidR="00F72A4D" w:rsidRDefault="00F72A4D" w:rsidP="00F01168">
      <w:pPr>
        <w:spacing w:after="0" w:line="240" w:lineRule="auto"/>
      </w:pPr>
      <w:r>
        <w:separator/>
      </w:r>
    </w:p>
  </w:endnote>
  <w:endnote w:type="continuationSeparator" w:id="0">
    <w:p w14:paraId="6F860718" w14:textId="77777777" w:rsidR="00F72A4D" w:rsidRDefault="00F72A4D" w:rsidP="00F011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AAD84" w14:textId="77777777" w:rsidR="00F72A4D" w:rsidRDefault="00F72A4D" w:rsidP="00F01168">
      <w:pPr>
        <w:spacing w:after="0" w:line="240" w:lineRule="auto"/>
      </w:pPr>
      <w:r>
        <w:separator/>
      </w:r>
    </w:p>
  </w:footnote>
  <w:footnote w:type="continuationSeparator" w:id="0">
    <w:p w14:paraId="7BBE8B77" w14:textId="77777777" w:rsidR="00F72A4D" w:rsidRDefault="00F72A4D" w:rsidP="00F011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73AD"/>
    <w:multiLevelType w:val="hybridMultilevel"/>
    <w:tmpl w:val="2D569B4E"/>
    <w:lvl w:ilvl="0" w:tplc="BFF4ABB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EA3191"/>
    <w:multiLevelType w:val="hybridMultilevel"/>
    <w:tmpl w:val="B33A4DBC"/>
    <w:lvl w:ilvl="0" w:tplc="4BEE7E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D753B"/>
    <w:multiLevelType w:val="multilevel"/>
    <w:tmpl w:val="385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B3BB7"/>
    <w:multiLevelType w:val="hybridMultilevel"/>
    <w:tmpl w:val="57E207E2"/>
    <w:lvl w:ilvl="0" w:tplc="1F461B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5913D5"/>
    <w:multiLevelType w:val="hybridMultilevel"/>
    <w:tmpl w:val="0728CB2A"/>
    <w:lvl w:ilvl="0" w:tplc="059CA23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BDA11ED"/>
    <w:multiLevelType w:val="hybridMultilevel"/>
    <w:tmpl w:val="9D2051DA"/>
    <w:lvl w:ilvl="0" w:tplc="F2AEA7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40DD9"/>
    <w:multiLevelType w:val="hybridMultilevel"/>
    <w:tmpl w:val="4CD02CC8"/>
    <w:lvl w:ilvl="0" w:tplc="F11EB7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EA6F02"/>
    <w:multiLevelType w:val="hybridMultilevel"/>
    <w:tmpl w:val="FD7E4EAA"/>
    <w:lvl w:ilvl="0" w:tplc="E09C841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CC72FB"/>
    <w:multiLevelType w:val="multilevel"/>
    <w:tmpl w:val="C3AC3008"/>
    <w:lvl w:ilvl="0">
      <w:start w:val="1"/>
      <w:numFmt w:val="decimal"/>
      <w:lvlText w:val="%1."/>
      <w:lvlJc w:val="left"/>
      <w:pPr>
        <w:ind w:left="390" w:hanging="39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40DF68D5"/>
    <w:multiLevelType w:val="hybridMultilevel"/>
    <w:tmpl w:val="89A8521E"/>
    <w:lvl w:ilvl="0" w:tplc="DB20F5E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603DB8"/>
    <w:multiLevelType w:val="hybridMultilevel"/>
    <w:tmpl w:val="D3C6E79A"/>
    <w:lvl w:ilvl="0" w:tplc="ADAE58B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66295"/>
    <w:multiLevelType w:val="hybridMultilevel"/>
    <w:tmpl w:val="935EE876"/>
    <w:lvl w:ilvl="0" w:tplc="2BCA4A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D525FA"/>
    <w:multiLevelType w:val="hybridMultilevel"/>
    <w:tmpl w:val="02E800A8"/>
    <w:lvl w:ilvl="0" w:tplc="B9348D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1049E"/>
    <w:multiLevelType w:val="hybridMultilevel"/>
    <w:tmpl w:val="0AEECDE4"/>
    <w:lvl w:ilvl="0" w:tplc="59708A8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7D6A5F"/>
    <w:multiLevelType w:val="hybridMultilevel"/>
    <w:tmpl w:val="FABA3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26618"/>
    <w:multiLevelType w:val="hybridMultilevel"/>
    <w:tmpl w:val="919EBEAE"/>
    <w:lvl w:ilvl="0" w:tplc="78560B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12"/>
  </w:num>
  <w:num w:numId="4">
    <w:abstractNumId w:val="6"/>
  </w:num>
  <w:num w:numId="5">
    <w:abstractNumId w:val="13"/>
  </w:num>
  <w:num w:numId="6">
    <w:abstractNumId w:val="9"/>
  </w:num>
  <w:num w:numId="7">
    <w:abstractNumId w:val="0"/>
  </w:num>
  <w:num w:numId="8">
    <w:abstractNumId w:val="7"/>
  </w:num>
  <w:num w:numId="9">
    <w:abstractNumId w:val="1"/>
  </w:num>
  <w:num w:numId="10">
    <w:abstractNumId w:val="3"/>
  </w:num>
  <w:num w:numId="11">
    <w:abstractNumId w:val="5"/>
  </w:num>
  <w:num w:numId="12">
    <w:abstractNumId w:val="15"/>
  </w:num>
  <w:num w:numId="13">
    <w:abstractNumId w:val="8"/>
  </w:num>
  <w:num w:numId="14">
    <w:abstractNumId w:val="4"/>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261"/>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7574D"/>
    <w:rsid w:val="00000074"/>
    <w:rsid w:val="00003A4E"/>
    <w:rsid w:val="00003B19"/>
    <w:rsid w:val="0001016B"/>
    <w:rsid w:val="00011116"/>
    <w:rsid w:val="00011753"/>
    <w:rsid w:val="0001500C"/>
    <w:rsid w:val="00021239"/>
    <w:rsid w:val="000239D8"/>
    <w:rsid w:val="000264C7"/>
    <w:rsid w:val="00026D06"/>
    <w:rsid w:val="00030E33"/>
    <w:rsid w:val="00032EBF"/>
    <w:rsid w:val="000337BB"/>
    <w:rsid w:val="00033C68"/>
    <w:rsid w:val="000358E7"/>
    <w:rsid w:val="00037DFC"/>
    <w:rsid w:val="00040500"/>
    <w:rsid w:val="00040F0A"/>
    <w:rsid w:val="000476F3"/>
    <w:rsid w:val="000500FB"/>
    <w:rsid w:val="00051B17"/>
    <w:rsid w:val="000538CA"/>
    <w:rsid w:val="00054601"/>
    <w:rsid w:val="0005542D"/>
    <w:rsid w:val="000567B5"/>
    <w:rsid w:val="000571C4"/>
    <w:rsid w:val="00060490"/>
    <w:rsid w:val="00062677"/>
    <w:rsid w:val="00064D63"/>
    <w:rsid w:val="0006591D"/>
    <w:rsid w:val="00070398"/>
    <w:rsid w:val="0007423A"/>
    <w:rsid w:val="0007574D"/>
    <w:rsid w:val="000759D4"/>
    <w:rsid w:val="000848B5"/>
    <w:rsid w:val="0008560E"/>
    <w:rsid w:val="00085912"/>
    <w:rsid w:val="00086514"/>
    <w:rsid w:val="0009066C"/>
    <w:rsid w:val="00093998"/>
    <w:rsid w:val="0009560D"/>
    <w:rsid w:val="00095BFF"/>
    <w:rsid w:val="0009693F"/>
    <w:rsid w:val="00096F4A"/>
    <w:rsid w:val="000A3C36"/>
    <w:rsid w:val="000A5AB2"/>
    <w:rsid w:val="000B40EE"/>
    <w:rsid w:val="000B6386"/>
    <w:rsid w:val="000B645F"/>
    <w:rsid w:val="000B6F91"/>
    <w:rsid w:val="000C3986"/>
    <w:rsid w:val="000D2BEF"/>
    <w:rsid w:val="000D3279"/>
    <w:rsid w:val="000D39ED"/>
    <w:rsid w:val="000D4D0F"/>
    <w:rsid w:val="000D680E"/>
    <w:rsid w:val="000D77E1"/>
    <w:rsid w:val="000E1913"/>
    <w:rsid w:val="000E3387"/>
    <w:rsid w:val="000E3E24"/>
    <w:rsid w:val="000E620A"/>
    <w:rsid w:val="000E7449"/>
    <w:rsid w:val="000F0FE6"/>
    <w:rsid w:val="000F117C"/>
    <w:rsid w:val="000F556E"/>
    <w:rsid w:val="000F6E23"/>
    <w:rsid w:val="000F71EF"/>
    <w:rsid w:val="00102069"/>
    <w:rsid w:val="00102099"/>
    <w:rsid w:val="001020C9"/>
    <w:rsid w:val="00102AD7"/>
    <w:rsid w:val="00102F0A"/>
    <w:rsid w:val="00103148"/>
    <w:rsid w:val="001034BA"/>
    <w:rsid w:val="00103B83"/>
    <w:rsid w:val="00106184"/>
    <w:rsid w:val="00106247"/>
    <w:rsid w:val="001065C3"/>
    <w:rsid w:val="0011054D"/>
    <w:rsid w:val="00112F60"/>
    <w:rsid w:val="00115146"/>
    <w:rsid w:val="00115723"/>
    <w:rsid w:val="001161CC"/>
    <w:rsid w:val="00117393"/>
    <w:rsid w:val="00120C70"/>
    <w:rsid w:val="00121DE6"/>
    <w:rsid w:val="0012302C"/>
    <w:rsid w:val="001231ED"/>
    <w:rsid w:val="00125262"/>
    <w:rsid w:val="00130120"/>
    <w:rsid w:val="00130D4C"/>
    <w:rsid w:val="00137620"/>
    <w:rsid w:val="00141D49"/>
    <w:rsid w:val="00142917"/>
    <w:rsid w:val="001435DE"/>
    <w:rsid w:val="00143E33"/>
    <w:rsid w:val="001452B5"/>
    <w:rsid w:val="001459BB"/>
    <w:rsid w:val="00150861"/>
    <w:rsid w:val="001545E4"/>
    <w:rsid w:val="00157772"/>
    <w:rsid w:val="0016490D"/>
    <w:rsid w:val="00165E50"/>
    <w:rsid w:val="00166D14"/>
    <w:rsid w:val="001710F6"/>
    <w:rsid w:val="001742CF"/>
    <w:rsid w:val="00174946"/>
    <w:rsid w:val="001800EC"/>
    <w:rsid w:val="001823AA"/>
    <w:rsid w:val="00184508"/>
    <w:rsid w:val="00186230"/>
    <w:rsid w:val="00191491"/>
    <w:rsid w:val="0019321A"/>
    <w:rsid w:val="00193839"/>
    <w:rsid w:val="00194D22"/>
    <w:rsid w:val="00195649"/>
    <w:rsid w:val="001A1F21"/>
    <w:rsid w:val="001A49FB"/>
    <w:rsid w:val="001A5790"/>
    <w:rsid w:val="001A68AE"/>
    <w:rsid w:val="001A6B68"/>
    <w:rsid w:val="001A787B"/>
    <w:rsid w:val="001A794B"/>
    <w:rsid w:val="001B04C3"/>
    <w:rsid w:val="001B5882"/>
    <w:rsid w:val="001B5982"/>
    <w:rsid w:val="001B7E99"/>
    <w:rsid w:val="001C0736"/>
    <w:rsid w:val="001C0E26"/>
    <w:rsid w:val="001C42ED"/>
    <w:rsid w:val="001D13D9"/>
    <w:rsid w:val="001D25E6"/>
    <w:rsid w:val="001D4607"/>
    <w:rsid w:val="001D6E53"/>
    <w:rsid w:val="001E3CC9"/>
    <w:rsid w:val="001E766B"/>
    <w:rsid w:val="001E7EB7"/>
    <w:rsid w:val="001F0051"/>
    <w:rsid w:val="001F1B63"/>
    <w:rsid w:val="001F266D"/>
    <w:rsid w:val="001F38DB"/>
    <w:rsid w:val="001F3BB4"/>
    <w:rsid w:val="001F4493"/>
    <w:rsid w:val="00200A53"/>
    <w:rsid w:val="002045D9"/>
    <w:rsid w:val="00204655"/>
    <w:rsid w:val="0020769A"/>
    <w:rsid w:val="00215235"/>
    <w:rsid w:val="00215283"/>
    <w:rsid w:val="00220BC2"/>
    <w:rsid w:val="0022146E"/>
    <w:rsid w:val="00221C6D"/>
    <w:rsid w:val="00222B95"/>
    <w:rsid w:val="002230B7"/>
    <w:rsid w:val="002240FE"/>
    <w:rsid w:val="00226D04"/>
    <w:rsid w:val="00230731"/>
    <w:rsid w:val="00232A44"/>
    <w:rsid w:val="00232C61"/>
    <w:rsid w:val="0023678F"/>
    <w:rsid w:val="00243FC3"/>
    <w:rsid w:val="0024545A"/>
    <w:rsid w:val="00247BDC"/>
    <w:rsid w:val="002501F9"/>
    <w:rsid w:val="00251AEC"/>
    <w:rsid w:val="002570A1"/>
    <w:rsid w:val="0025770D"/>
    <w:rsid w:val="0026052E"/>
    <w:rsid w:val="00260BD8"/>
    <w:rsid w:val="00261DE7"/>
    <w:rsid w:val="002632BE"/>
    <w:rsid w:val="0026436B"/>
    <w:rsid w:val="0027057F"/>
    <w:rsid w:val="0027366F"/>
    <w:rsid w:val="0027448C"/>
    <w:rsid w:val="002774C1"/>
    <w:rsid w:val="002775AD"/>
    <w:rsid w:val="00280A88"/>
    <w:rsid w:val="00281014"/>
    <w:rsid w:val="00282815"/>
    <w:rsid w:val="00283D71"/>
    <w:rsid w:val="0028720A"/>
    <w:rsid w:val="00291092"/>
    <w:rsid w:val="0029753E"/>
    <w:rsid w:val="002A1196"/>
    <w:rsid w:val="002A3740"/>
    <w:rsid w:val="002B28BF"/>
    <w:rsid w:val="002B399C"/>
    <w:rsid w:val="002B4FCE"/>
    <w:rsid w:val="002B5EAC"/>
    <w:rsid w:val="002C4A4B"/>
    <w:rsid w:val="002C6A00"/>
    <w:rsid w:val="002D0705"/>
    <w:rsid w:val="002D1AAD"/>
    <w:rsid w:val="002D2986"/>
    <w:rsid w:val="002D62FE"/>
    <w:rsid w:val="002D6D37"/>
    <w:rsid w:val="002E0845"/>
    <w:rsid w:val="002E4720"/>
    <w:rsid w:val="002E525C"/>
    <w:rsid w:val="002E72CC"/>
    <w:rsid w:val="002E7D9A"/>
    <w:rsid w:val="002F01E8"/>
    <w:rsid w:val="002F1E12"/>
    <w:rsid w:val="002F1F37"/>
    <w:rsid w:val="002F24AF"/>
    <w:rsid w:val="00302B39"/>
    <w:rsid w:val="003036BB"/>
    <w:rsid w:val="00304766"/>
    <w:rsid w:val="0030595D"/>
    <w:rsid w:val="00305DA9"/>
    <w:rsid w:val="00306C29"/>
    <w:rsid w:val="003079DF"/>
    <w:rsid w:val="003136BB"/>
    <w:rsid w:val="003231A6"/>
    <w:rsid w:val="0032458B"/>
    <w:rsid w:val="003305CE"/>
    <w:rsid w:val="0033340A"/>
    <w:rsid w:val="003342CC"/>
    <w:rsid w:val="003376B8"/>
    <w:rsid w:val="00341CDB"/>
    <w:rsid w:val="003468F2"/>
    <w:rsid w:val="00346A73"/>
    <w:rsid w:val="003515CF"/>
    <w:rsid w:val="003542B2"/>
    <w:rsid w:val="003556A1"/>
    <w:rsid w:val="003572A5"/>
    <w:rsid w:val="00360D20"/>
    <w:rsid w:val="003623F4"/>
    <w:rsid w:val="00382001"/>
    <w:rsid w:val="00387092"/>
    <w:rsid w:val="003879AC"/>
    <w:rsid w:val="00390E9E"/>
    <w:rsid w:val="003919D0"/>
    <w:rsid w:val="003937C8"/>
    <w:rsid w:val="00395B46"/>
    <w:rsid w:val="003A2B72"/>
    <w:rsid w:val="003B0EBC"/>
    <w:rsid w:val="003B1192"/>
    <w:rsid w:val="003B7D96"/>
    <w:rsid w:val="003C0027"/>
    <w:rsid w:val="003C589D"/>
    <w:rsid w:val="003C5B28"/>
    <w:rsid w:val="003C67FB"/>
    <w:rsid w:val="003C7076"/>
    <w:rsid w:val="003D1BB2"/>
    <w:rsid w:val="003D2026"/>
    <w:rsid w:val="003D47A9"/>
    <w:rsid w:val="003E0FA9"/>
    <w:rsid w:val="003E201F"/>
    <w:rsid w:val="003E2857"/>
    <w:rsid w:val="003E6560"/>
    <w:rsid w:val="003E6BD0"/>
    <w:rsid w:val="003E7734"/>
    <w:rsid w:val="003F4787"/>
    <w:rsid w:val="003F5A45"/>
    <w:rsid w:val="003F7815"/>
    <w:rsid w:val="003F78B0"/>
    <w:rsid w:val="00402E1D"/>
    <w:rsid w:val="00403DCB"/>
    <w:rsid w:val="00405619"/>
    <w:rsid w:val="00407450"/>
    <w:rsid w:val="00415249"/>
    <w:rsid w:val="00420F3D"/>
    <w:rsid w:val="00422A03"/>
    <w:rsid w:val="00423E32"/>
    <w:rsid w:val="004254E6"/>
    <w:rsid w:val="00426316"/>
    <w:rsid w:val="0042698E"/>
    <w:rsid w:val="00433B1E"/>
    <w:rsid w:val="00435A59"/>
    <w:rsid w:val="004378A3"/>
    <w:rsid w:val="00441C9D"/>
    <w:rsid w:val="00441EEA"/>
    <w:rsid w:val="00443712"/>
    <w:rsid w:val="0044439D"/>
    <w:rsid w:val="00445C20"/>
    <w:rsid w:val="00447670"/>
    <w:rsid w:val="00447B99"/>
    <w:rsid w:val="00451D8B"/>
    <w:rsid w:val="004527F1"/>
    <w:rsid w:val="00452AD5"/>
    <w:rsid w:val="004531DC"/>
    <w:rsid w:val="00455205"/>
    <w:rsid w:val="00456942"/>
    <w:rsid w:val="004578A5"/>
    <w:rsid w:val="00457B6A"/>
    <w:rsid w:val="004600C7"/>
    <w:rsid w:val="00461533"/>
    <w:rsid w:val="00461BA5"/>
    <w:rsid w:val="0046606B"/>
    <w:rsid w:val="00473438"/>
    <w:rsid w:val="00474449"/>
    <w:rsid w:val="00480D47"/>
    <w:rsid w:val="004844DD"/>
    <w:rsid w:val="00485151"/>
    <w:rsid w:val="00487AEF"/>
    <w:rsid w:val="004907C8"/>
    <w:rsid w:val="00492505"/>
    <w:rsid w:val="004947D2"/>
    <w:rsid w:val="004A6F85"/>
    <w:rsid w:val="004B6C23"/>
    <w:rsid w:val="004C2547"/>
    <w:rsid w:val="004C2977"/>
    <w:rsid w:val="004D1D98"/>
    <w:rsid w:val="004D21CE"/>
    <w:rsid w:val="004D4FC7"/>
    <w:rsid w:val="004E1A36"/>
    <w:rsid w:val="004E35CD"/>
    <w:rsid w:val="004E7884"/>
    <w:rsid w:val="004F060A"/>
    <w:rsid w:val="004F17BA"/>
    <w:rsid w:val="004F1B40"/>
    <w:rsid w:val="004F602A"/>
    <w:rsid w:val="004F6B43"/>
    <w:rsid w:val="004F7A0D"/>
    <w:rsid w:val="0050174D"/>
    <w:rsid w:val="0050303A"/>
    <w:rsid w:val="00503AD9"/>
    <w:rsid w:val="00505353"/>
    <w:rsid w:val="00506BEE"/>
    <w:rsid w:val="00507458"/>
    <w:rsid w:val="00520DB0"/>
    <w:rsid w:val="005215E7"/>
    <w:rsid w:val="00521C59"/>
    <w:rsid w:val="00523255"/>
    <w:rsid w:val="0052667B"/>
    <w:rsid w:val="00530AC2"/>
    <w:rsid w:val="0053197D"/>
    <w:rsid w:val="00531CD7"/>
    <w:rsid w:val="00536762"/>
    <w:rsid w:val="005367F0"/>
    <w:rsid w:val="00536C74"/>
    <w:rsid w:val="0054050C"/>
    <w:rsid w:val="005424D9"/>
    <w:rsid w:val="00542D33"/>
    <w:rsid w:val="00544BB6"/>
    <w:rsid w:val="00545CDB"/>
    <w:rsid w:val="00546DD3"/>
    <w:rsid w:val="00550D67"/>
    <w:rsid w:val="00552547"/>
    <w:rsid w:val="00554CAC"/>
    <w:rsid w:val="00557684"/>
    <w:rsid w:val="00557A24"/>
    <w:rsid w:val="00561B8A"/>
    <w:rsid w:val="005645F8"/>
    <w:rsid w:val="005651F8"/>
    <w:rsid w:val="00567400"/>
    <w:rsid w:val="005678FC"/>
    <w:rsid w:val="00570A42"/>
    <w:rsid w:val="005747EE"/>
    <w:rsid w:val="00576E9E"/>
    <w:rsid w:val="005808AF"/>
    <w:rsid w:val="00580D78"/>
    <w:rsid w:val="005817D7"/>
    <w:rsid w:val="00583E67"/>
    <w:rsid w:val="00584481"/>
    <w:rsid w:val="00584520"/>
    <w:rsid w:val="00585415"/>
    <w:rsid w:val="00587795"/>
    <w:rsid w:val="005912FD"/>
    <w:rsid w:val="00591592"/>
    <w:rsid w:val="005948B5"/>
    <w:rsid w:val="005A003F"/>
    <w:rsid w:val="005A2C7F"/>
    <w:rsid w:val="005A47FB"/>
    <w:rsid w:val="005B252D"/>
    <w:rsid w:val="005B4649"/>
    <w:rsid w:val="005B5956"/>
    <w:rsid w:val="005B68D4"/>
    <w:rsid w:val="005C14F5"/>
    <w:rsid w:val="005C1B46"/>
    <w:rsid w:val="005C57B5"/>
    <w:rsid w:val="005C74E8"/>
    <w:rsid w:val="005C75F2"/>
    <w:rsid w:val="005D3942"/>
    <w:rsid w:val="005D3E67"/>
    <w:rsid w:val="005D4637"/>
    <w:rsid w:val="005D59E9"/>
    <w:rsid w:val="005E0D6B"/>
    <w:rsid w:val="005E159B"/>
    <w:rsid w:val="005E16D1"/>
    <w:rsid w:val="005E2A3E"/>
    <w:rsid w:val="005E3555"/>
    <w:rsid w:val="005E4742"/>
    <w:rsid w:val="005E6868"/>
    <w:rsid w:val="005E6987"/>
    <w:rsid w:val="005E6FD7"/>
    <w:rsid w:val="005F034D"/>
    <w:rsid w:val="005F30D4"/>
    <w:rsid w:val="005F3C67"/>
    <w:rsid w:val="005F609E"/>
    <w:rsid w:val="005F6C8F"/>
    <w:rsid w:val="005F6F48"/>
    <w:rsid w:val="006018C5"/>
    <w:rsid w:val="0060489B"/>
    <w:rsid w:val="00606240"/>
    <w:rsid w:val="0061133C"/>
    <w:rsid w:val="00613BFB"/>
    <w:rsid w:val="00617050"/>
    <w:rsid w:val="006173C8"/>
    <w:rsid w:val="00617713"/>
    <w:rsid w:val="0062108E"/>
    <w:rsid w:val="00621EBB"/>
    <w:rsid w:val="00624B2C"/>
    <w:rsid w:val="00625CCE"/>
    <w:rsid w:val="0062669E"/>
    <w:rsid w:val="00630B16"/>
    <w:rsid w:val="00631968"/>
    <w:rsid w:val="00635B83"/>
    <w:rsid w:val="00635C17"/>
    <w:rsid w:val="00637578"/>
    <w:rsid w:val="006402F0"/>
    <w:rsid w:val="00642928"/>
    <w:rsid w:val="00644385"/>
    <w:rsid w:val="00644FB3"/>
    <w:rsid w:val="006469CB"/>
    <w:rsid w:val="00650223"/>
    <w:rsid w:val="00653D93"/>
    <w:rsid w:val="00660DAF"/>
    <w:rsid w:val="00661EFC"/>
    <w:rsid w:val="006620FA"/>
    <w:rsid w:val="00665A9F"/>
    <w:rsid w:val="00670924"/>
    <w:rsid w:val="00674196"/>
    <w:rsid w:val="006748F0"/>
    <w:rsid w:val="0067559A"/>
    <w:rsid w:val="00677125"/>
    <w:rsid w:val="00677948"/>
    <w:rsid w:val="00680342"/>
    <w:rsid w:val="006849F5"/>
    <w:rsid w:val="006870B1"/>
    <w:rsid w:val="00690603"/>
    <w:rsid w:val="00692AAE"/>
    <w:rsid w:val="00692E4E"/>
    <w:rsid w:val="00694ADF"/>
    <w:rsid w:val="006A20B1"/>
    <w:rsid w:val="006A3879"/>
    <w:rsid w:val="006A4914"/>
    <w:rsid w:val="006A71E5"/>
    <w:rsid w:val="006A7BCE"/>
    <w:rsid w:val="006B012B"/>
    <w:rsid w:val="006B28C4"/>
    <w:rsid w:val="006B2BAE"/>
    <w:rsid w:val="006B329B"/>
    <w:rsid w:val="006B4830"/>
    <w:rsid w:val="006B52CF"/>
    <w:rsid w:val="006C0408"/>
    <w:rsid w:val="006C0C2E"/>
    <w:rsid w:val="006C1EBC"/>
    <w:rsid w:val="006C4295"/>
    <w:rsid w:val="006C6E4B"/>
    <w:rsid w:val="006D147F"/>
    <w:rsid w:val="006D1FF1"/>
    <w:rsid w:val="006D5E1A"/>
    <w:rsid w:val="006E2CF4"/>
    <w:rsid w:val="006E324E"/>
    <w:rsid w:val="006E3EAB"/>
    <w:rsid w:val="006E4479"/>
    <w:rsid w:val="006F0329"/>
    <w:rsid w:val="006F1973"/>
    <w:rsid w:val="006F233F"/>
    <w:rsid w:val="006F5692"/>
    <w:rsid w:val="006F5AD8"/>
    <w:rsid w:val="007011D8"/>
    <w:rsid w:val="00702831"/>
    <w:rsid w:val="00704547"/>
    <w:rsid w:val="007063AC"/>
    <w:rsid w:val="00707E1F"/>
    <w:rsid w:val="007112D9"/>
    <w:rsid w:val="007127DD"/>
    <w:rsid w:val="00712C38"/>
    <w:rsid w:val="0071449F"/>
    <w:rsid w:val="007157F7"/>
    <w:rsid w:val="00715C12"/>
    <w:rsid w:val="00717254"/>
    <w:rsid w:val="00717C18"/>
    <w:rsid w:val="00720BF3"/>
    <w:rsid w:val="00720E8B"/>
    <w:rsid w:val="00720F87"/>
    <w:rsid w:val="00724DC6"/>
    <w:rsid w:val="007269F0"/>
    <w:rsid w:val="00737894"/>
    <w:rsid w:val="00740CA6"/>
    <w:rsid w:val="00743203"/>
    <w:rsid w:val="00743241"/>
    <w:rsid w:val="00745081"/>
    <w:rsid w:val="00746137"/>
    <w:rsid w:val="00754FB8"/>
    <w:rsid w:val="00756ACF"/>
    <w:rsid w:val="007576C2"/>
    <w:rsid w:val="00764A6E"/>
    <w:rsid w:val="00767BB7"/>
    <w:rsid w:val="00774697"/>
    <w:rsid w:val="00777014"/>
    <w:rsid w:val="00777732"/>
    <w:rsid w:val="00781447"/>
    <w:rsid w:val="00781726"/>
    <w:rsid w:val="007818E1"/>
    <w:rsid w:val="00781DDA"/>
    <w:rsid w:val="00782211"/>
    <w:rsid w:val="00782EE5"/>
    <w:rsid w:val="00783282"/>
    <w:rsid w:val="007848A1"/>
    <w:rsid w:val="007870FE"/>
    <w:rsid w:val="007927AA"/>
    <w:rsid w:val="00794914"/>
    <w:rsid w:val="00795A7B"/>
    <w:rsid w:val="007965F5"/>
    <w:rsid w:val="007A00BB"/>
    <w:rsid w:val="007A2465"/>
    <w:rsid w:val="007A36FA"/>
    <w:rsid w:val="007A4580"/>
    <w:rsid w:val="007A5918"/>
    <w:rsid w:val="007A6659"/>
    <w:rsid w:val="007B19BA"/>
    <w:rsid w:val="007B20EF"/>
    <w:rsid w:val="007B2C81"/>
    <w:rsid w:val="007B6722"/>
    <w:rsid w:val="007B7648"/>
    <w:rsid w:val="007B7731"/>
    <w:rsid w:val="007C3663"/>
    <w:rsid w:val="007C4B3D"/>
    <w:rsid w:val="007C5128"/>
    <w:rsid w:val="007C7F99"/>
    <w:rsid w:val="007D0D1B"/>
    <w:rsid w:val="007D11EF"/>
    <w:rsid w:val="007D2D2E"/>
    <w:rsid w:val="007D3110"/>
    <w:rsid w:val="007D3676"/>
    <w:rsid w:val="007D3E8B"/>
    <w:rsid w:val="007D4162"/>
    <w:rsid w:val="007D6B6B"/>
    <w:rsid w:val="007E103C"/>
    <w:rsid w:val="007E1597"/>
    <w:rsid w:val="007E3B51"/>
    <w:rsid w:val="007E42D6"/>
    <w:rsid w:val="007E4DEF"/>
    <w:rsid w:val="007E5DAE"/>
    <w:rsid w:val="007F41AC"/>
    <w:rsid w:val="007F4475"/>
    <w:rsid w:val="007F5897"/>
    <w:rsid w:val="007F7CDC"/>
    <w:rsid w:val="008033B9"/>
    <w:rsid w:val="00803CFC"/>
    <w:rsid w:val="00806159"/>
    <w:rsid w:val="00810F26"/>
    <w:rsid w:val="0081190F"/>
    <w:rsid w:val="00811A8A"/>
    <w:rsid w:val="00815E1C"/>
    <w:rsid w:val="008164B2"/>
    <w:rsid w:val="00822334"/>
    <w:rsid w:val="00822DC3"/>
    <w:rsid w:val="008238A2"/>
    <w:rsid w:val="00824F8F"/>
    <w:rsid w:val="00826E2F"/>
    <w:rsid w:val="00826F17"/>
    <w:rsid w:val="0083070B"/>
    <w:rsid w:val="00831FFF"/>
    <w:rsid w:val="0083245E"/>
    <w:rsid w:val="008377C1"/>
    <w:rsid w:val="00840600"/>
    <w:rsid w:val="008412A5"/>
    <w:rsid w:val="00842E4C"/>
    <w:rsid w:val="008433B0"/>
    <w:rsid w:val="00847044"/>
    <w:rsid w:val="008538EB"/>
    <w:rsid w:val="00856B9F"/>
    <w:rsid w:val="008618D4"/>
    <w:rsid w:val="00862AE1"/>
    <w:rsid w:val="00862F6C"/>
    <w:rsid w:val="00871736"/>
    <w:rsid w:val="00872475"/>
    <w:rsid w:val="00874209"/>
    <w:rsid w:val="00874E3E"/>
    <w:rsid w:val="008754D6"/>
    <w:rsid w:val="00876C09"/>
    <w:rsid w:val="00883743"/>
    <w:rsid w:val="00884082"/>
    <w:rsid w:val="00886134"/>
    <w:rsid w:val="00887EF8"/>
    <w:rsid w:val="00891066"/>
    <w:rsid w:val="008916F1"/>
    <w:rsid w:val="0089179F"/>
    <w:rsid w:val="008921C5"/>
    <w:rsid w:val="00897CB6"/>
    <w:rsid w:val="00897EAF"/>
    <w:rsid w:val="008A139E"/>
    <w:rsid w:val="008A1402"/>
    <w:rsid w:val="008A2DE6"/>
    <w:rsid w:val="008A32E5"/>
    <w:rsid w:val="008A4759"/>
    <w:rsid w:val="008A4E7D"/>
    <w:rsid w:val="008A6DDF"/>
    <w:rsid w:val="008B043A"/>
    <w:rsid w:val="008B58BB"/>
    <w:rsid w:val="008B5A63"/>
    <w:rsid w:val="008C17BD"/>
    <w:rsid w:val="008C1F3B"/>
    <w:rsid w:val="008C42DC"/>
    <w:rsid w:val="008C4A62"/>
    <w:rsid w:val="008C5CA8"/>
    <w:rsid w:val="008C5D09"/>
    <w:rsid w:val="008C6656"/>
    <w:rsid w:val="008C7AFF"/>
    <w:rsid w:val="008D1255"/>
    <w:rsid w:val="008D4523"/>
    <w:rsid w:val="008D6BA3"/>
    <w:rsid w:val="008E10F9"/>
    <w:rsid w:val="008E1C68"/>
    <w:rsid w:val="008E3BFD"/>
    <w:rsid w:val="008E4138"/>
    <w:rsid w:val="008E42F4"/>
    <w:rsid w:val="008E57DE"/>
    <w:rsid w:val="008F00FA"/>
    <w:rsid w:val="008F174F"/>
    <w:rsid w:val="008F366A"/>
    <w:rsid w:val="008F3747"/>
    <w:rsid w:val="008F7300"/>
    <w:rsid w:val="008F7651"/>
    <w:rsid w:val="008F785F"/>
    <w:rsid w:val="00905E4F"/>
    <w:rsid w:val="009121F0"/>
    <w:rsid w:val="009159A3"/>
    <w:rsid w:val="00916441"/>
    <w:rsid w:val="00917855"/>
    <w:rsid w:val="00917E23"/>
    <w:rsid w:val="009229C2"/>
    <w:rsid w:val="0093026F"/>
    <w:rsid w:val="00930F8B"/>
    <w:rsid w:val="00932431"/>
    <w:rsid w:val="00937A40"/>
    <w:rsid w:val="00940F08"/>
    <w:rsid w:val="00941543"/>
    <w:rsid w:val="00941941"/>
    <w:rsid w:val="0094241E"/>
    <w:rsid w:val="00943DC6"/>
    <w:rsid w:val="00945DBF"/>
    <w:rsid w:val="00951835"/>
    <w:rsid w:val="00953B39"/>
    <w:rsid w:val="0095517C"/>
    <w:rsid w:val="009603EF"/>
    <w:rsid w:val="009607CB"/>
    <w:rsid w:val="009607E6"/>
    <w:rsid w:val="00962B53"/>
    <w:rsid w:val="00964CE0"/>
    <w:rsid w:val="009653BE"/>
    <w:rsid w:val="0096660B"/>
    <w:rsid w:val="00966A45"/>
    <w:rsid w:val="009739A5"/>
    <w:rsid w:val="00975AA8"/>
    <w:rsid w:val="009800DB"/>
    <w:rsid w:val="009803AC"/>
    <w:rsid w:val="009825F7"/>
    <w:rsid w:val="009840C6"/>
    <w:rsid w:val="009865A6"/>
    <w:rsid w:val="009929EC"/>
    <w:rsid w:val="00994524"/>
    <w:rsid w:val="00996D56"/>
    <w:rsid w:val="00996FC5"/>
    <w:rsid w:val="009A0783"/>
    <w:rsid w:val="009A2406"/>
    <w:rsid w:val="009A4CCF"/>
    <w:rsid w:val="009A5751"/>
    <w:rsid w:val="009A7122"/>
    <w:rsid w:val="009B2091"/>
    <w:rsid w:val="009B20F0"/>
    <w:rsid w:val="009B2DF1"/>
    <w:rsid w:val="009B3A6D"/>
    <w:rsid w:val="009B4757"/>
    <w:rsid w:val="009B5218"/>
    <w:rsid w:val="009C0C07"/>
    <w:rsid w:val="009C3D87"/>
    <w:rsid w:val="009C5D3B"/>
    <w:rsid w:val="009C75AE"/>
    <w:rsid w:val="009D20E3"/>
    <w:rsid w:val="009D42F8"/>
    <w:rsid w:val="009D5022"/>
    <w:rsid w:val="009D561F"/>
    <w:rsid w:val="009D78C2"/>
    <w:rsid w:val="009E051D"/>
    <w:rsid w:val="009E139D"/>
    <w:rsid w:val="009E5308"/>
    <w:rsid w:val="009E53EA"/>
    <w:rsid w:val="009F33F0"/>
    <w:rsid w:val="009F4833"/>
    <w:rsid w:val="009F5493"/>
    <w:rsid w:val="009F5BD3"/>
    <w:rsid w:val="009F7AD7"/>
    <w:rsid w:val="00A003E2"/>
    <w:rsid w:val="00A018BA"/>
    <w:rsid w:val="00A02DB7"/>
    <w:rsid w:val="00A05340"/>
    <w:rsid w:val="00A058DC"/>
    <w:rsid w:val="00A06C01"/>
    <w:rsid w:val="00A07D3C"/>
    <w:rsid w:val="00A10955"/>
    <w:rsid w:val="00A13232"/>
    <w:rsid w:val="00A137A4"/>
    <w:rsid w:val="00A14282"/>
    <w:rsid w:val="00A14F76"/>
    <w:rsid w:val="00A15D12"/>
    <w:rsid w:val="00A16B4C"/>
    <w:rsid w:val="00A17204"/>
    <w:rsid w:val="00A1721C"/>
    <w:rsid w:val="00A21321"/>
    <w:rsid w:val="00A22E9D"/>
    <w:rsid w:val="00A2319B"/>
    <w:rsid w:val="00A264AA"/>
    <w:rsid w:val="00A26E9B"/>
    <w:rsid w:val="00A273EE"/>
    <w:rsid w:val="00A27A56"/>
    <w:rsid w:val="00A309DE"/>
    <w:rsid w:val="00A310C2"/>
    <w:rsid w:val="00A31AC8"/>
    <w:rsid w:val="00A32FEB"/>
    <w:rsid w:val="00A338B9"/>
    <w:rsid w:val="00A33D47"/>
    <w:rsid w:val="00A36225"/>
    <w:rsid w:val="00A37F45"/>
    <w:rsid w:val="00A44E62"/>
    <w:rsid w:val="00A47853"/>
    <w:rsid w:val="00A53196"/>
    <w:rsid w:val="00A54F9A"/>
    <w:rsid w:val="00A559B8"/>
    <w:rsid w:val="00A64592"/>
    <w:rsid w:val="00A64B60"/>
    <w:rsid w:val="00A66858"/>
    <w:rsid w:val="00A703AE"/>
    <w:rsid w:val="00A70F59"/>
    <w:rsid w:val="00A7104F"/>
    <w:rsid w:val="00A71AC5"/>
    <w:rsid w:val="00A72F1A"/>
    <w:rsid w:val="00A743B8"/>
    <w:rsid w:val="00A77139"/>
    <w:rsid w:val="00A80F68"/>
    <w:rsid w:val="00A82AEE"/>
    <w:rsid w:val="00A8325D"/>
    <w:rsid w:val="00A83F9A"/>
    <w:rsid w:val="00A848A8"/>
    <w:rsid w:val="00A84D80"/>
    <w:rsid w:val="00A95B0E"/>
    <w:rsid w:val="00A96AA9"/>
    <w:rsid w:val="00AA10A4"/>
    <w:rsid w:val="00AA20C8"/>
    <w:rsid w:val="00AA3E5D"/>
    <w:rsid w:val="00AA4ED3"/>
    <w:rsid w:val="00AA6B0C"/>
    <w:rsid w:val="00AA730D"/>
    <w:rsid w:val="00AB3C12"/>
    <w:rsid w:val="00AC3FE5"/>
    <w:rsid w:val="00AC41EB"/>
    <w:rsid w:val="00AC7E0A"/>
    <w:rsid w:val="00AD1F50"/>
    <w:rsid w:val="00AD332C"/>
    <w:rsid w:val="00AD3A3C"/>
    <w:rsid w:val="00AE173B"/>
    <w:rsid w:val="00AE2892"/>
    <w:rsid w:val="00AE333A"/>
    <w:rsid w:val="00AE3798"/>
    <w:rsid w:val="00AE4594"/>
    <w:rsid w:val="00AE7E61"/>
    <w:rsid w:val="00AF0305"/>
    <w:rsid w:val="00AF09BF"/>
    <w:rsid w:val="00AF20EC"/>
    <w:rsid w:val="00B02E99"/>
    <w:rsid w:val="00B05D48"/>
    <w:rsid w:val="00B13336"/>
    <w:rsid w:val="00B2242B"/>
    <w:rsid w:val="00B37B0E"/>
    <w:rsid w:val="00B41570"/>
    <w:rsid w:val="00B4191D"/>
    <w:rsid w:val="00B44F43"/>
    <w:rsid w:val="00B4634C"/>
    <w:rsid w:val="00B5245E"/>
    <w:rsid w:val="00B546FC"/>
    <w:rsid w:val="00B54E06"/>
    <w:rsid w:val="00B55E96"/>
    <w:rsid w:val="00B5707B"/>
    <w:rsid w:val="00B6162A"/>
    <w:rsid w:val="00B64868"/>
    <w:rsid w:val="00B72CF6"/>
    <w:rsid w:val="00B73E42"/>
    <w:rsid w:val="00B77A52"/>
    <w:rsid w:val="00B81303"/>
    <w:rsid w:val="00B81588"/>
    <w:rsid w:val="00B82DCD"/>
    <w:rsid w:val="00B834A7"/>
    <w:rsid w:val="00B84AAC"/>
    <w:rsid w:val="00B84B1D"/>
    <w:rsid w:val="00B85788"/>
    <w:rsid w:val="00B8655B"/>
    <w:rsid w:val="00B87322"/>
    <w:rsid w:val="00B90181"/>
    <w:rsid w:val="00B90673"/>
    <w:rsid w:val="00B9121D"/>
    <w:rsid w:val="00B91A56"/>
    <w:rsid w:val="00B935CD"/>
    <w:rsid w:val="00B964F8"/>
    <w:rsid w:val="00BA4D05"/>
    <w:rsid w:val="00BA5626"/>
    <w:rsid w:val="00BA7505"/>
    <w:rsid w:val="00BB07A0"/>
    <w:rsid w:val="00BB3250"/>
    <w:rsid w:val="00BB36F5"/>
    <w:rsid w:val="00BB4079"/>
    <w:rsid w:val="00BB70FD"/>
    <w:rsid w:val="00BB7984"/>
    <w:rsid w:val="00BC3F4E"/>
    <w:rsid w:val="00BD09F4"/>
    <w:rsid w:val="00BD50D6"/>
    <w:rsid w:val="00BD632A"/>
    <w:rsid w:val="00BD6901"/>
    <w:rsid w:val="00BD6C98"/>
    <w:rsid w:val="00BE0872"/>
    <w:rsid w:val="00BE16AE"/>
    <w:rsid w:val="00BE1F24"/>
    <w:rsid w:val="00BE1F4C"/>
    <w:rsid w:val="00BE20F4"/>
    <w:rsid w:val="00BE2F30"/>
    <w:rsid w:val="00BE421C"/>
    <w:rsid w:val="00BF11B0"/>
    <w:rsid w:val="00BF30EF"/>
    <w:rsid w:val="00BF3555"/>
    <w:rsid w:val="00BF3C6F"/>
    <w:rsid w:val="00BF5061"/>
    <w:rsid w:val="00BF5DB8"/>
    <w:rsid w:val="00BF6712"/>
    <w:rsid w:val="00C00E5D"/>
    <w:rsid w:val="00C02608"/>
    <w:rsid w:val="00C05781"/>
    <w:rsid w:val="00C10D17"/>
    <w:rsid w:val="00C1381D"/>
    <w:rsid w:val="00C146D9"/>
    <w:rsid w:val="00C17205"/>
    <w:rsid w:val="00C21A4B"/>
    <w:rsid w:val="00C21C65"/>
    <w:rsid w:val="00C25D21"/>
    <w:rsid w:val="00C25E5E"/>
    <w:rsid w:val="00C262D2"/>
    <w:rsid w:val="00C316A0"/>
    <w:rsid w:val="00C341DE"/>
    <w:rsid w:val="00C37879"/>
    <w:rsid w:val="00C445A9"/>
    <w:rsid w:val="00C46994"/>
    <w:rsid w:val="00C47282"/>
    <w:rsid w:val="00C47A9C"/>
    <w:rsid w:val="00C53DA3"/>
    <w:rsid w:val="00C53DD3"/>
    <w:rsid w:val="00C54040"/>
    <w:rsid w:val="00C61B5D"/>
    <w:rsid w:val="00C61CBF"/>
    <w:rsid w:val="00C6421B"/>
    <w:rsid w:val="00C66AB1"/>
    <w:rsid w:val="00C712AB"/>
    <w:rsid w:val="00C713F0"/>
    <w:rsid w:val="00C728D6"/>
    <w:rsid w:val="00C74A23"/>
    <w:rsid w:val="00C74A6D"/>
    <w:rsid w:val="00C81BAF"/>
    <w:rsid w:val="00C839D6"/>
    <w:rsid w:val="00C87D37"/>
    <w:rsid w:val="00C96832"/>
    <w:rsid w:val="00CA0348"/>
    <w:rsid w:val="00CA481B"/>
    <w:rsid w:val="00CA4C72"/>
    <w:rsid w:val="00CA4E4A"/>
    <w:rsid w:val="00CA6BAC"/>
    <w:rsid w:val="00CB07C8"/>
    <w:rsid w:val="00CB48F1"/>
    <w:rsid w:val="00CB4B34"/>
    <w:rsid w:val="00CB50D1"/>
    <w:rsid w:val="00CC0DC3"/>
    <w:rsid w:val="00CC49A7"/>
    <w:rsid w:val="00CC50C2"/>
    <w:rsid w:val="00CD00FE"/>
    <w:rsid w:val="00CD4621"/>
    <w:rsid w:val="00CD70C0"/>
    <w:rsid w:val="00CD79AB"/>
    <w:rsid w:val="00CE0188"/>
    <w:rsid w:val="00CE610B"/>
    <w:rsid w:val="00CE66B5"/>
    <w:rsid w:val="00CE6C0C"/>
    <w:rsid w:val="00CF18B6"/>
    <w:rsid w:val="00CF3E96"/>
    <w:rsid w:val="00CF448C"/>
    <w:rsid w:val="00CF49EF"/>
    <w:rsid w:val="00CF5595"/>
    <w:rsid w:val="00CF7CEC"/>
    <w:rsid w:val="00D07888"/>
    <w:rsid w:val="00D12BF3"/>
    <w:rsid w:val="00D15054"/>
    <w:rsid w:val="00D17DB8"/>
    <w:rsid w:val="00D2097E"/>
    <w:rsid w:val="00D210B9"/>
    <w:rsid w:val="00D21DDB"/>
    <w:rsid w:val="00D2244B"/>
    <w:rsid w:val="00D23228"/>
    <w:rsid w:val="00D312E0"/>
    <w:rsid w:val="00D320E4"/>
    <w:rsid w:val="00D35C5C"/>
    <w:rsid w:val="00D35E29"/>
    <w:rsid w:val="00D3619B"/>
    <w:rsid w:val="00D37B45"/>
    <w:rsid w:val="00D408C3"/>
    <w:rsid w:val="00D41807"/>
    <w:rsid w:val="00D42165"/>
    <w:rsid w:val="00D47515"/>
    <w:rsid w:val="00D547E3"/>
    <w:rsid w:val="00D54DBB"/>
    <w:rsid w:val="00D56495"/>
    <w:rsid w:val="00D56736"/>
    <w:rsid w:val="00D56FEE"/>
    <w:rsid w:val="00D63940"/>
    <w:rsid w:val="00D646EB"/>
    <w:rsid w:val="00D657C9"/>
    <w:rsid w:val="00D67980"/>
    <w:rsid w:val="00D70698"/>
    <w:rsid w:val="00D70DB1"/>
    <w:rsid w:val="00D76A54"/>
    <w:rsid w:val="00D76EF3"/>
    <w:rsid w:val="00D80CFE"/>
    <w:rsid w:val="00D86461"/>
    <w:rsid w:val="00D86C5A"/>
    <w:rsid w:val="00D86FDE"/>
    <w:rsid w:val="00D915BD"/>
    <w:rsid w:val="00DA273F"/>
    <w:rsid w:val="00DA703F"/>
    <w:rsid w:val="00DA72DC"/>
    <w:rsid w:val="00DB060C"/>
    <w:rsid w:val="00DB0E75"/>
    <w:rsid w:val="00DB5F00"/>
    <w:rsid w:val="00DB6C37"/>
    <w:rsid w:val="00DB7CCD"/>
    <w:rsid w:val="00DB7E51"/>
    <w:rsid w:val="00DC108D"/>
    <w:rsid w:val="00DC42F8"/>
    <w:rsid w:val="00DC568C"/>
    <w:rsid w:val="00DC6A88"/>
    <w:rsid w:val="00DD1CCD"/>
    <w:rsid w:val="00DD340E"/>
    <w:rsid w:val="00DD4061"/>
    <w:rsid w:val="00DD4CAF"/>
    <w:rsid w:val="00DE1C35"/>
    <w:rsid w:val="00DE5186"/>
    <w:rsid w:val="00DE5DA1"/>
    <w:rsid w:val="00DE6421"/>
    <w:rsid w:val="00DE6DCE"/>
    <w:rsid w:val="00DF7A45"/>
    <w:rsid w:val="00E06207"/>
    <w:rsid w:val="00E069F0"/>
    <w:rsid w:val="00E07EA3"/>
    <w:rsid w:val="00E1414C"/>
    <w:rsid w:val="00E14E0A"/>
    <w:rsid w:val="00E15354"/>
    <w:rsid w:val="00E172E9"/>
    <w:rsid w:val="00E20BAD"/>
    <w:rsid w:val="00E216CC"/>
    <w:rsid w:val="00E21B41"/>
    <w:rsid w:val="00E228EE"/>
    <w:rsid w:val="00E24D69"/>
    <w:rsid w:val="00E27168"/>
    <w:rsid w:val="00E27DB6"/>
    <w:rsid w:val="00E31873"/>
    <w:rsid w:val="00E32864"/>
    <w:rsid w:val="00E33155"/>
    <w:rsid w:val="00E42986"/>
    <w:rsid w:val="00E449C9"/>
    <w:rsid w:val="00E52152"/>
    <w:rsid w:val="00E53091"/>
    <w:rsid w:val="00E5419C"/>
    <w:rsid w:val="00E55FCB"/>
    <w:rsid w:val="00E60317"/>
    <w:rsid w:val="00E61495"/>
    <w:rsid w:val="00E62127"/>
    <w:rsid w:val="00E62F53"/>
    <w:rsid w:val="00E64082"/>
    <w:rsid w:val="00E67B3A"/>
    <w:rsid w:val="00E7206C"/>
    <w:rsid w:val="00E72169"/>
    <w:rsid w:val="00E73749"/>
    <w:rsid w:val="00E7755A"/>
    <w:rsid w:val="00E7785A"/>
    <w:rsid w:val="00E81B57"/>
    <w:rsid w:val="00E833B6"/>
    <w:rsid w:val="00E83715"/>
    <w:rsid w:val="00E85683"/>
    <w:rsid w:val="00E9231B"/>
    <w:rsid w:val="00E93F6A"/>
    <w:rsid w:val="00E95450"/>
    <w:rsid w:val="00EA2ED0"/>
    <w:rsid w:val="00EA67E2"/>
    <w:rsid w:val="00EA6CCF"/>
    <w:rsid w:val="00EA72BF"/>
    <w:rsid w:val="00EA7575"/>
    <w:rsid w:val="00EB3FF7"/>
    <w:rsid w:val="00EB4417"/>
    <w:rsid w:val="00EB5A50"/>
    <w:rsid w:val="00EC18EF"/>
    <w:rsid w:val="00EC1D7A"/>
    <w:rsid w:val="00EC72BC"/>
    <w:rsid w:val="00EC77F0"/>
    <w:rsid w:val="00ED08B3"/>
    <w:rsid w:val="00ED0C30"/>
    <w:rsid w:val="00ED0E22"/>
    <w:rsid w:val="00ED4A75"/>
    <w:rsid w:val="00ED574C"/>
    <w:rsid w:val="00ED5E8E"/>
    <w:rsid w:val="00EE2304"/>
    <w:rsid w:val="00EE268B"/>
    <w:rsid w:val="00EE2713"/>
    <w:rsid w:val="00EE4D5F"/>
    <w:rsid w:val="00EF01D6"/>
    <w:rsid w:val="00EF4EEE"/>
    <w:rsid w:val="00EF654F"/>
    <w:rsid w:val="00F01168"/>
    <w:rsid w:val="00F03E66"/>
    <w:rsid w:val="00F04E8D"/>
    <w:rsid w:val="00F0699D"/>
    <w:rsid w:val="00F11184"/>
    <w:rsid w:val="00F11E88"/>
    <w:rsid w:val="00F2345F"/>
    <w:rsid w:val="00F30A56"/>
    <w:rsid w:val="00F3178B"/>
    <w:rsid w:val="00F34FDF"/>
    <w:rsid w:val="00F354A4"/>
    <w:rsid w:val="00F42422"/>
    <w:rsid w:val="00F439ED"/>
    <w:rsid w:val="00F45875"/>
    <w:rsid w:val="00F46B1A"/>
    <w:rsid w:val="00F52788"/>
    <w:rsid w:val="00F557F0"/>
    <w:rsid w:val="00F565F8"/>
    <w:rsid w:val="00F6143F"/>
    <w:rsid w:val="00F63207"/>
    <w:rsid w:val="00F64F6F"/>
    <w:rsid w:val="00F652D2"/>
    <w:rsid w:val="00F660BE"/>
    <w:rsid w:val="00F678D0"/>
    <w:rsid w:val="00F711BC"/>
    <w:rsid w:val="00F7262D"/>
    <w:rsid w:val="00F727C8"/>
    <w:rsid w:val="00F72A4D"/>
    <w:rsid w:val="00F72C4C"/>
    <w:rsid w:val="00F73316"/>
    <w:rsid w:val="00F7355C"/>
    <w:rsid w:val="00F73865"/>
    <w:rsid w:val="00F74398"/>
    <w:rsid w:val="00F748AD"/>
    <w:rsid w:val="00F807DE"/>
    <w:rsid w:val="00F82531"/>
    <w:rsid w:val="00F83FEA"/>
    <w:rsid w:val="00F84671"/>
    <w:rsid w:val="00F854E8"/>
    <w:rsid w:val="00F8618E"/>
    <w:rsid w:val="00F8679C"/>
    <w:rsid w:val="00F90C69"/>
    <w:rsid w:val="00F97D77"/>
    <w:rsid w:val="00FA10D1"/>
    <w:rsid w:val="00FA3D1E"/>
    <w:rsid w:val="00FA7235"/>
    <w:rsid w:val="00FA7275"/>
    <w:rsid w:val="00FB19D4"/>
    <w:rsid w:val="00FB5B96"/>
    <w:rsid w:val="00FB6A42"/>
    <w:rsid w:val="00FC2551"/>
    <w:rsid w:val="00FC30CA"/>
    <w:rsid w:val="00FC5205"/>
    <w:rsid w:val="00FD10BF"/>
    <w:rsid w:val="00FD213C"/>
    <w:rsid w:val="00FD304A"/>
    <w:rsid w:val="00FD4E32"/>
    <w:rsid w:val="00FD746C"/>
    <w:rsid w:val="00FE14F4"/>
    <w:rsid w:val="00FE59C4"/>
    <w:rsid w:val="00FF419A"/>
    <w:rsid w:val="00FF4530"/>
    <w:rsid w:val="00FF4D55"/>
    <w:rsid w:val="00FF5602"/>
    <w:rsid w:val="00FF5D91"/>
    <w:rsid w:val="00FF62D2"/>
    <w:rsid w:val="00FF63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214D"/>
  <w15:docId w15:val="{273C2201-F76A-4FA8-A38C-24F0E9557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C38"/>
  </w:style>
  <w:style w:type="paragraph" w:styleId="Heading1">
    <w:name w:val="heading 1"/>
    <w:basedOn w:val="Normal"/>
    <w:next w:val="Normal"/>
    <w:link w:val="Heading1Char"/>
    <w:uiPriority w:val="9"/>
    <w:qFormat/>
    <w:rsid w:val="00407450"/>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365F91" w:themeColor="accent1" w:themeShade="BF"/>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61BA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9A0783"/>
    <w:pPr>
      <w:ind w:left="720"/>
      <w:contextualSpacing/>
    </w:pPr>
  </w:style>
  <w:style w:type="character" w:customStyle="1" w:styleId="fontstyle21">
    <w:name w:val="fontstyle21"/>
    <w:basedOn w:val="DefaultParagraphFont"/>
    <w:rsid w:val="001435DE"/>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1435DE"/>
    <w:rPr>
      <w:rFonts w:ascii="Times New Roman" w:hAnsi="Times New Roman" w:cs="Times New Roman" w:hint="default"/>
      <w:b w:val="0"/>
      <w:bCs w:val="0"/>
      <w:i/>
      <w:iCs/>
      <w:color w:val="000000"/>
      <w:sz w:val="28"/>
      <w:szCs w:val="28"/>
    </w:rPr>
  </w:style>
  <w:style w:type="paragraph" w:customStyle="1" w:styleId="CharChar1">
    <w:name w:val="Char Char1"/>
    <w:basedOn w:val="Normal"/>
    <w:rsid w:val="00193839"/>
    <w:pPr>
      <w:spacing w:after="160" w:line="240" w:lineRule="atLeast"/>
    </w:pPr>
    <w:rPr>
      <w:rFonts w:eastAsia="Times New Roman" w:cs="Times New Roman"/>
      <w:sz w:val="20"/>
      <w:szCs w:val="20"/>
    </w:rPr>
  </w:style>
  <w:style w:type="paragraph" w:styleId="BodyText">
    <w:name w:val="Body Text"/>
    <w:basedOn w:val="Normal"/>
    <w:link w:val="BodyTextChar"/>
    <w:rsid w:val="0001500C"/>
    <w:pPr>
      <w:spacing w:after="120" w:line="240" w:lineRule="auto"/>
    </w:pPr>
    <w:rPr>
      <w:rFonts w:eastAsia="Times New Roman" w:cs="Times New Roman"/>
      <w:sz w:val="24"/>
      <w:szCs w:val="24"/>
    </w:rPr>
  </w:style>
  <w:style w:type="character" w:customStyle="1" w:styleId="BodyTextChar">
    <w:name w:val="Body Text Char"/>
    <w:basedOn w:val="DefaultParagraphFont"/>
    <w:link w:val="BodyText"/>
    <w:rsid w:val="0001500C"/>
    <w:rPr>
      <w:rFonts w:eastAsia="Times New Roman" w:cs="Times New Roman"/>
      <w:sz w:val="24"/>
      <w:szCs w:val="24"/>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Char Ch"/>
    <w:basedOn w:val="Normal"/>
    <w:link w:val="FootnoteTextChar"/>
    <w:unhideWhenUsed/>
    <w:rsid w:val="00F0116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Char Ch Char"/>
    <w:basedOn w:val="DefaultParagraphFont"/>
    <w:link w:val="FootnoteText"/>
    <w:rsid w:val="00F01168"/>
    <w:rPr>
      <w:sz w:val="20"/>
      <w:szCs w:val="20"/>
    </w:rPr>
  </w:style>
  <w:style w:type="character" w:styleId="FootnoteReference">
    <w:name w:val="footnote reference"/>
    <w:aliases w:val="Ref,de nota al pie"/>
    <w:basedOn w:val="DefaultParagraphFont"/>
    <w:unhideWhenUsed/>
    <w:rsid w:val="00F01168"/>
    <w:rPr>
      <w:vertAlign w:val="superscript"/>
    </w:rPr>
  </w:style>
  <w:style w:type="paragraph" w:customStyle="1" w:styleId="Default">
    <w:name w:val="Default"/>
    <w:rsid w:val="00523255"/>
    <w:pPr>
      <w:autoSpaceDE w:val="0"/>
      <w:autoSpaceDN w:val="0"/>
      <w:adjustRightInd w:val="0"/>
      <w:spacing w:after="0" w:line="240" w:lineRule="auto"/>
    </w:pPr>
    <w:rPr>
      <w:rFonts w:eastAsia="Calibri" w:cs="Times New Roman"/>
      <w:color w:val="000000"/>
      <w:sz w:val="24"/>
      <w:szCs w:val="24"/>
    </w:rPr>
  </w:style>
  <w:style w:type="character" w:styleId="Hyperlink">
    <w:name w:val="Hyperlink"/>
    <w:uiPriority w:val="99"/>
    <w:unhideWhenUsed/>
    <w:rsid w:val="00186230"/>
    <w:rPr>
      <w:color w:val="0000FF"/>
      <w:u w:val="single"/>
    </w:rPr>
  </w:style>
  <w:style w:type="character" w:customStyle="1" w:styleId="Heading1Char">
    <w:name w:val="Heading 1 Char"/>
    <w:basedOn w:val="DefaultParagraphFont"/>
    <w:link w:val="Heading1"/>
    <w:uiPriority w:val="9"/>
    <w:rsid w:val="00407450"/>
    <w:rPr>
      <w:rFonts w:asciiTheme="majorHAnsi" w:eastAsiaTheme="majorEastAsia" w:hAnsiTheme="majorHAnsi" w:cstheme="majorBidi"/>
      <w:b/>
      <w:bCs/>
      <w:color w:val="365F91" w:themeColor="accent1" w:themeShade="BF"/>
      <w:szCs w:val="28"/>
      <w:lang w:val="vi"/>
    </w:rPr>
  </w:style>
  <w:style w:type="paragraph" w:styleId="NormalWeb">
    <w:name w:val="Normal (Web)"/>
    <w:basedOn w:val="Normal"/>
    <w:uiPriority w:val="99"/>
    <w:unhideWhenUsed/>
    <w:rsid w:val="009865A6"/>
    <w:pPr>
      <w:spacing w:before="100" w:beforeAutospacing="1" w:after="100" w:afterAutospacing="1" w:line="240" w:lineRule="auto"/>
    </w:pPr>
    <w:rPr>
      <w:rFonts w:eastAsia="Times New Roman" w:cs="Times New Roman"/>
      <w:sz w:val="24"/>
      <w:szCs w:val="24"/>
    </w:rPr>
  </w:style>
  <w:style w:type="character" w:customStyle="1" w:styleId="UnresolvedMention">
    <w:name w:val="Unresolved Mention"/>
    <w:basedOn w:val="DefaultParagraphFont"/>
    <w:uiPriority w:val="99"/>
    <w:semiHidden/>
    <w:unhideWhenUsed/>
    <w:rsid w:val="00982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3983">
      <w:bodyDiv w:val="1"/>
      <w:marLeft w:val="0"/>
      <w:marRight w:val="0"/>
      <w:marTop w:val="0"/>
      <w:marBottom w:val="0"/>
      <w:divBdr>
        <w:top w:val="none" w:sz="0" w:space="0" w:color="auto"/>
        <w:left w:val="none" w:sz="0" w:space="0" w:color="auto"/>
        <w:bottom w:val="none" w:sz="0" w:space="0" w:color="auto"/>
        <w:right w:val="none" w:sz="0" w:space="0" w:color="auto"/>
      </w:divBdr>
    </w:div>
    <w:div w:id="1749040826">
      <w:bodyDiv w:val="1"/>
      <w:marLeft w:val="0"/>
      <w:marRight w:val="0"/>
      <w:marTop w:val="0"/>
      <w:marBottom w:val="0"/>
      <w:divBdr>
        <w:top w:val="none" w:sz="0" w:space="0" w:color="auto"/>
        <w:left w:val="none" w:sz="0" w:space="0" w:color="auto"/>
        <w:bottom w:val="none" w:sz="0" w:space="0" w:color="auto"/>
        <w:right w:val="none" w:sz="0" w:space="0" w:color="auto"/>
      </w:divBdr>
    </w:div>
    <w:div w:id="192264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A1E02-7D33-40C2-BF7C-489092327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1848</TotalTime>
  <Pages>11</Pages>
  <Words>3062</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Nguyễn ĐÌnh Trung</cp:lastModifiedBy>
  <cp:revision>383</cp:revision>
  <dcterms:created xsi:type="dcterms:W3CDTF">2024-11-13T07:21:00Z</dcterms:created>
  <dcterms:modified xsi:type="dcterms:W3CDTF">2026-03-03T11:21:00Z</dcterms:modified>
</cp:coreProperties>
</file>