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7834A" w14:textId="4D18C47E" w:rsidR="006F379D" w:rsidRPr="00107C56" w:rsidRDefault="006F379D" w:rsidP="007D32F2"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bookmarkStart w:id="0" w:name="_GoBack"/>
      <w:r w:rsidRPr="00107C56">
        <w:rPr>
          <w:rFonts w:eastAsia="Calibri" w:cs="Times New Roman"/>
          <w:b/>
          <w:szCs w:val="28"/>
        </w:rPr>
        <w:t>Phụ lục I</w:t>
      </w:r>
    </w:p>
    <w:p w14:paraId="5544D7D4" w14:textId="77777777" w:rsidR="00147B62" w:rsidRPr="00107C56" w:rsidRDefault="00147B62" w:rsidP="00147B62">
      <w:pPr>
        <w:spacing w:after="0" w:line="240" w:lineRule="auto"/>
        <w:jc w:val="center"/>
        <w:rPr>
          <w:rFonts w:eastAsia="Calibri" w:cs="Times New Roman"/>
          <w:b/>
          <w:bCs/>
          <w:iCs/>
          <w:szCs w:val="28"/>
        </w:rPr>
      </w:pPr>
      <w:r w:rsidRPr="00107C56">
        <w:rPr>
          <w:rFonts w:eastAsia="Calibri" w:cs="Times New Roman"/>
          <w:b/>
          <w:bCs/>
          <w:iCs/>
          <w:szCs w:val="28"/>
        </w:rPr>
        <w:t>DANH MỤC THỦ TỤC HÀNH CHÍNH MỚI BAN HÀNH, BỊ BÃI BỎ LĨNH VỰC</w:t>
      </w:r>
    </w:p>
    <w:p w14:paraId="390B5574" w14:textId="4A55B671" w:rsidR="006F379D" w:rsidRPr="00107C56" w:rsidRDefault="00147B62" w:rsidP="00147B62">
      <w:pPr>
        <w:spacing w:after="0" w:line="240" w:lineRule="auto"/>
        <w:jc w:val="center"/>
        <w:rPr>
          <w:rFonts w:eastAsia="Calibri" w:cs="Times New Roman"/>
          <w:b/>
          <w:bCs/>
          <w:iCs/>
          <w:szCs w:val="28"/>
        </w:rPr>
      </w:pPr>
      <w:r w:rsidRPr="00107C56">
        <w:rPr>
          <w:rFonts w:eastAsia="Calibri" w:cs="Times New Roman"/>
          <w:b/>
          <w:bCs/>
          <w:iCs/>
          <w:szCs w:val="28"/>
        </w:rPr>
        <w:t xml:space="preserve"> DƯỢC PHẨM THUỘC THẨM QUYỀN GIẢI QUYẾT CỦA SỞ Y TẾ TỈNH LẠNG SƠN</w:t>
      </w:r>
    </w:p>
    <w:p w14:paraId="02DA1351" w14:textId="76DC576F" w:rsidR="006F379D" w:rsidRPr="00107C56" w:rsidRDefault="007D32F2" w:rsidP="006F379D">
      <w:pPr>
        <w:spacing w:before="120" w:after="120" w:line="240" w:lineRule="auto"/>
        <w:jc w:val="center"/>
        <w:rPr>
          <w:rFonts w:eastAsia="Calibri" w:cs="Times New Roman"/>
          <w:i/>
          <w:szCs w:val="28"/>
        </w:rPr>
      </w:pPr>
      <w:r w:rsidRPr="00107C56">
        <w:rPr>
          <w:rFonts w:eastAsia="Calibri" w:cs="Times New Roman"/>
          <w:i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E9A425" wp14:editId="5FB44843">
                <wp:simplePos x="0" y="0"/>
                <wp:positionH relativeFrom="column">
                  <wp:posOffset>3759835</wp:posOffset>
                </wp:positionH>
                <wp:positionV relativeFrom="paragraph">
                  <wp:posOffset>278130</wp:posOffset>
                </wp:positionV>
                <wp:extent cx="1866900" cy="0"/>
                <wp:effectExtent l="6985" t="12065" r="12065" b="6985"/>
                <wp:wrapNone/>
                <wp:docPr id="174496677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line w14:anchorId="1B198371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05pt,21.9pt" to="443.05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"/>
            </w:pict>
          </mc:Fallback>
        </mc:AlternateContent>
      </w:r>
      <w:r w:rsidR="006F379D" w:rsidRPr="00107C56">
        <w:rPr>
          <w:rFonts w:eastAsia="Calibri" w:cs="Times New Roman"/>
          <w:i/>
          <w:szCs w:val="28"/>
        </w:rPr>
        <w:t>(Kèm theo Quyết định số</w:t>
      </w:r>
      <w:r w:rsidR="00147B62" w:rsidRPr="00107C56">
        <w:rPr>
          <w:rFonts w:eastAsia="Calibri" w:cs="Times New Roman"/>
          <w:i/>
          <w:szCs w:val="28"/>
        </w:rPr>
        <w:t>:</w:t>
      </w:r>
      <w:r w:rsidR="006F379D" w:rsidRPr="00107C56">
        <w:rPr>
          <w:rFonts w:eastAsia="Calibri" w:cs="Times New Roman"/>
          <w:i/>
          <w:szCs w:val="28"/>
        </w:rPr>
        <w:t xml:space="preserve">       </w:t>
      </w:r>
      <w:r w:rsidR="000A0F38" w:rsidRPr="00107C56">
        <w:rPr>
          <w:rFonts w:eastAsia="Calibri" w:cs="Times New Roman"/>
          <w:i/>
          <w:szCs w:val="28"/>
        </w:rPr>
        <w:t xml:space="preserve">  </w:t>
      </w:r>
      <w:r w:rsidR="00A15E7D" w:rsidRPr="00107C56">
        <w:rPr>
          <w:rFonts w:eastAsia="Calibri" w:cs="Times New Roman"/>
          <w:i/>
          <w:szCs w:val="28"/>
        </w:rPr>
        <w:t xml:space="preserve"> </w:t>
      </w:r>
      <w:r w:rsidR="00682BB9" w:rsidRPr="00107C56">
        <w:rPr>
          <w:rFonts w:eastAsia="Calibri" w:cs="Times New Roman"/>
          <w:i/>
          <w:szCs w:val="28"/>
        </w:rPr>
        <w:t xml:space="preserve"> </w:t>
      </w:r>
      <w:r w:rsidR="006F379D" w:rsidRPr="00107C56">
        <w:rPr>
          <w:rFonts w:eastAsia="Calibri" w:cs="Times New Roman"/>
          <w:i/>
          <w:szCs w:val="28"/>
        </w:rPr>
        <w:t xml:space="preserve">/QĐ-UBND ngày     </w:t>
      </w:r>
      <w:r w:rsidR="00147B62" w:rsidRPr="00107C56">
        <w:rPr>
          <w:rFonts w:eastAsia="Calibri" w:cs="Times New Roman"/>
          <w:i/>
          <w:szCs w:val="28"/>
        </w:rPr>
        <w:t>/</w:t>
      </w:r>
      <w:r w:rsidR="002B22D7" w:rsidRPr="00107C56">
        <w:rPr>
          <w:rFonts w:eastAsia="Calibri" w:cs="Times New Roman"/>
          <w:i/>
          <w:szCs w:val="28"/>
        </w:rPr>
        <w:t>7</w:t>
      </w:r>
      <w:r w:rsidR="00147B62" w:rsidRPr="00107C56">
        <w:rPr>
          <w:rFonts w:eastAsia="Calibri" w:cs="Times New Roman"/>
          <w:i/>
          <w:szCs w:val="28"/>
        </w:rPr>
        <w:t>/</w:t>
      </w:r>
      <w:r w:rsidR="006F379D" w:rsidRPr="00107C56">
        <w:rPr>
          <w:rFonts w:eastAsia="Calibri" w:cs="Times New Roman"/>
          <w:i/>
          <w:szCs w:val="28"/>
        </w:rPr>
        <w:t xml:space="preserve">2025 của Chủ tịch </w:t>
      </w:r>
      <w:r w:rsidR="00147B62" w:rsidRPr="00107C56">
        <w:rPr>
          <w:rFonts w:eastAsia="Calibri" w:cs="Times New Roman"/>
          <w:i/>
          <w:szCs w:val="28"/>
        </w:rPr>
        <w:t xml:space="preserve">UBND </w:t>
      </w:r>
      <w:r w:rsidR="006F379D" w:rsidRPr="00107C56">
        <w:rPr>
          <w:rFonts w:eastAsia="Calibri" w:cs="Times New Roman"/>
          <w:i/>
          <w:szCs w:val="28"/>
        </w:rPr>
        <w:t>tỉnh Lạng Sơn)</w:t>
      </w:r>
    </w:p>
    <w:p w14:paraId="0323CB8B" w14:textId="13D1FA81" w:rsidR="006F379D" w:rsidRPr="00107C56" w:rsidRDefault="006F379D" w:rsidP="006F379D">
      <w:pPr>
        <w:spacing w:before="120" w:after="120" w:line="240" w:lineRule="auto"/>
        <w:jc w:val="center"/>
        <w:rPr>
          <w:rFonts w:eastAsia="Calibri" w:cs="Times New Roman"/>
          <w:i/>
          <w:sz w:val="6"/>
          <w:szCs w:val="28"/>
        </w:rPr>
      </w:pPr>
    </w:p>
    <w:p w14:paraId="0F44410F" w14:textId="2F8000E4" w:rsidR="006F379D" w:rsidRPr="00107C56" w:rsidRDefault="006F379D" w:rsidP="00D43B22">
      <w:pPr>
        <w:spacing w:before="120" w:after="120" w:line="240" w:lineRule="auto"/>
        <w:ind w:left="720" w:firstLine="720"/>
        <w:jc w:val="both"/>
        <w:rPr>
          <w:rFonts w:eastAsia="Calibri" w:cs="Times New Roman"/>
          <w:b/>
          <w:bCs/>
          <w:iCs/>
          <w:szCs w:val="28"/>
        </w:rPr>
      </w:pPr>
      <w:r w:rsidRPr="00107C56">
        <w:rPr>
          <w:rFonts w:eastAsia="Calibri" w:cs="Times New Roman"/>
          <w:b/>
          <w:bCs/>
          <w:iCs/>
          <w:szCs w:val="28"/>
        </w:rPr>
        <w:t>I. DANH MỤC THỦ TỤC HÀNH CHÍNH MỚI BAN HÀNH (</w:t>
      </w:r>
      <w:r w:rsidR="00147B62" w:rsidRPr="00107C56">
        <w:rPr>
          <w:rFonts w:eastAsia="Calibri" w:cs="Times New Roman"/>
          <w:b/>
          <w:bCs/>
          <w:iCs/>
          <w:szCs w:val="28"/>
        </w:rPr>
        <w:t xml:space="preserve">01 </w:t>
      </w:r>
      <w:r w:rsidRPr="00107C56">
        <w:rPr>
          <w:rFonts w:eastAsia="Calibri" w:cs="Times New Roman"/>
          <w:b/>
          <w:bCs/>
          <w:iCs/>
          <w:szCs w:val="28"/>
        </w:rPr>
        <w:t>TTHC CẤP TỈNH)</w:t>
      </w:r>
    </w:p>
    <w:tbl>
      <w:tblPr>
        <w:tblW w:w="1488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4"/>
        <w:gridCol w:w="1701"/>
        <w:gridCol w:w="2693"/>
        <w:gridCol w:w="2552"/>
        <w:gridCol w:w="1134"/>
        <w:gridCol w:w="4111"/>
      </w:tblGrid>
      <w:tr w:rsidR="00107C56" w:rsidRPr="00107C56" w14:paraId="5FD472FF" w14:textId="77777777" w:rsidTr="00D43B22">
        <w:trPr>
          <w:trHeight w:val="704"/>
        </w:trPr>
        <w:tc>
          <w:tcPr>
            <w:tcW w:w="709" w:type="dxa"/>
            <w:vAlign w:val="center"/>
          </w:tcPr>
          <w:p w14:paraId="3D287FD6" w14:textId="77777777" w:rsidR="00D43B22" w:rsidRPr="00107C56" w:rsidRDefault="00147B62" w:rsidP="00836342">
            <w:pPr>
              <w:spacing w:after="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107C56">
              <w:rPr>
                <w:rFonts w:eastAsia="Calibri" w:cs="Times New Roman"/>
                <w:b/>
                <w:sz w:val="26"/>
                <w:szCs w:val="26"/>
              </w:rPr>
              <w:t xml:space="preserve">Số </w:t>
            </w:r>
          </w:p>
          <w:p w14:paraId="48809158" w14:textId="32428657" w:rsidR="006F379D" w:rsidRPr="00107C56" w:rsidRDefault="006F379D" w:rsidP="00836342">
            <w:pPr>
              <w:spacing w:after="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107C56">
              <w:rPr>
                <w:rFonts w:eastAsia="Calibri" w:cs="Times New Roman"/>
                <w:b/>
                <w:sz w:val="26"/>
                <w:szCs w:val="26"/>
              </w:rPr>
              <w:t>TT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754B854" w14:textId="77777777" w:rsidR="006F379D" w:rsidRPr="00107C56" w:rsidRDefault="006F379D" w:rsidP="00836342">
            <w:pPr>
              <w:spacing w:after="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107C56">
              <w:rPr>
                <w:rFonts w:eastAsia="Calibri" w:cs="Times New Roman"/>
                <w:b/>
                <w:sz w:val="26"/>
                <w:szCs w:val="26"/>
              </w:rPr>
              <w:t>Tên TTHC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302A3B" w14:textId="77777777" w:rsidR="006F379D" w:rsidRPr="00107C56" w:rsidRDefault="006F379D" w:rsidP="00836342">
            <w:pPr>
              <w:spacing w:after="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107C56">
              <w:rPr>
                <w:rFonts w:eastAsia="Calibri" w:cs="Times New Roman"/>
                <w:b/>
                <w:sz w:val="26"/>
                <w:szCs w:val="26"/>
              </w:rPr>
              <w:t>Thời hạn</w:t>
            </w:r>
          </w:p>
          <w:p w14:paraId="4AD110B8" w14:textId="77777777" w:rsidR="006F379D" w:rsidRPr="00107C56" w:rsidRDefault="006F379D" w:rsidP="00836342">
            <w:pPr>
              <w:spacing w:after="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107C56">
              <w:rPr>
                <w:rFonts w:eastAsia="Calibri" w:cs="Times New Roman"/>
                <w:b/>
                <w:sz w:val="26"/>
                <w:szCs w:val="26"/>
              </w:rPr>
              <w:t>giải quyết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17B4347" w14:textId="77777777" w:rsidR="006F379D" w:rsidRPr="00107C56" w:rsidRDefault="006F379D" w:rsidP="00836342">
            <w:pPr>
              <w:spacing w:after="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107C56">
              <w:rPr>
                <w:rFonts w:eastAsia="Calibri" w:cs="Times New Roman"/>
                <w:b/>
                <w:sz w:val="26"/>
                <w:szCs w:val="26"/>
              </w:rPr>
              <w:t>Địa điểm</w:t>
            </w:r>
          </w:p>
          <w:p w14:paraId="00D0CBDF" w14:textId="77777777" w:rsidR="006F379D" w:rsidRPr="00107C56" w:rsidRDefault="006F379D" w:rsidP="00836342">
            <w:pPr>
              <w:spacing w:after="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107C56">
              <w:rPr>
                <w:rFonts w:eastAsia="Calibri" w:cs="Times New Roman"/>
                <w:b/>
                <w:sz w:val="26"/>
                <w:szCs w:val="26"/>
              </w:rPr>
              <w:t>thực hiện</w:t>
            </w:r>
          </w:p>
        </w:tc>
        <w:tc>
          <w:tcPr>
            <w:tcW w:w="2552" w:type="dxa"/>
            <w:vAlign w:val="center"/>
          </w:tcPr>
          <w:p w14:paraId="6529CBA7" w14:textId="77777777" w:rsidR="006F379D" w:rsidRPr="00107C56" w:rsidRDefault="006F379D" w:rsidP="00836342">
            <w:pPr>
              <w:spacing w:after="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107C56">
              <w:rPr>
                <w:rFonts w:eastAsia="Calibri" w:cs="Times New Roman"/>
                <w:b/>
                <w:sz w:val="26"/>
                <w:szCs w:val="26"/>
              </w:rPr>
              <w:t>Cách thức thực hiện</w:t>
            </w:r>
          </w:p>
        </w:tc>
        <w:tc>
          <w:tcPr>
            <w:tcW w:w="1134" w:type="dxa"/>
            <w:vAlign w:val="center"/>
          </w:tcPr>
          <w:p w14:paraId="0F76B4DE" w14:textId="77777777" w:rsidR="006F379D" w:rsidRPr="00107C56" w:rsidRDefault="006F379D" w:rsidP="00836342">
            <w:pPr>
              <w:spacing w:after="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107C56">
              <w:rPr>
                <w:rFonts w:eastAsia="Calibri" w:cs="Times New Roman"/>
                <w:b/>
                <w:sz w:val="26"/>
                <w:szCs w:val="26"/>
              </w:rPr>
              <w:t>Phí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8055681" w14:textId="77777777" w:rsidR="006F379D" w:rsidRPr="00107C56" w:rsidRDefault="006F379D" w:rsidP="00836342">
            <w:pPr>
              <w:spacing w:after="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107C56">
              <w:rPr>
                <w:rFonts w:eastAsia="Calibri" w:cs="Times New Roman"/>
                <w:b/>
                <w:sz w:val="26"/>
                <w:szCs w:val="26"/>
              </w:rPr>
              <w:t>Căn cứ pháp lý</w:t>
            </w:r>
          </w:p>
        </w:tc>
      </w:tr>
      <w:tr w:rsidR="00107C56" w:rsidRPr="00107C56" w14:paraId="6BFC021B" w14:textId="77777777" w:rsidTr="00D43B22">
        <w:trPr>
          <w:trHeight w:val="606"/>
        </w:trPr>
        <w:tc>
          <w:tcPr>
            <w:tcW w:w="709" w:type="dxa"/>
            <w:vAlign w:val="center"/>
          </w:tcPr>
          <w:p w14:paraId="1F550087" w14:textId="77777777" w:rsidR="006F379D" w:rsidRPr="00107C56" w:rsidRDefault="006F379D" w:rsidP="00836342">
            <w:pPr>
              <w:numPr>
                <w:ilvl w:val="0"/>
                <w:numId w:val="1"/>
              </w:numPr>
              <w:spacing w:after="0" w:line="240" w:lineRule="auto"/>
              <w:ind w:left="454" w:hanging="227"/>
              <w:contextualSpacing/>
              <w:jc w:val="center"/>
              <w:rPr>
                <w:rFonts w:eastAsia="Calibri" w:cs="Times New Roman"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8EBD13B" w14:textId="77777777" w:rsidR="00752E39" w:rsidRPr="00107C56" w:rsidRDefault="00752E39" w:rsidP="00836342">
            <w:pPr>
              <w:spacing w:after="0" w:line="240" w:lineRule="auto"/>
              <w:jc w:val="both"/>
              <w:rPr>
                <w:szCs w:val="28"/>
                <w:u w:color="FF0000"/>
              </w:rPr>
            </w:pPr>
            <w:r w:rsidRPr="00107C56">
              <w:rPr>
                <w:szCs w:val="28"/>
                <w:highlight w:val="white"/>
              </w:rPr>
              <w:t xml:space="preserve">Công bố cơ sở kinh doanh có tổ chức </w:t>
            </w:r>
            <w:r w:rsidRPr="00107C56">
              <w:rPr>
                <w:szCs w:val="28"/>
                <w:highlight w:val="white"/>
                <w:u w:color="FF0000"/>
              </w:rPr>
              <w:t>kệ thuốc</w:t>
            </w:r>
          </w:p>
          <w:p w14:paraId="37F98A05" w14:textId="7BBF88E6" w:rsidR="007E59E1" w:rsidRPr="00107C56" w:rsidRDefault="007E59E1" w:rsidP="004442A5">
            <w:pPr>
              <w:spacing w:after="0" w:line="240" w:lineRule="auto"/>
              <w:jc w:val="center"/>
              <w:rPr>
                <w:rFonts w:eastAsia="Calibri" w:cs="Times New Roman"/>
                <w:bCs/>
                <w:spacing w:val="-6"/>
                <w:sz w:val="26"/>
                <w:szCs w:val="26"/>
              </w:rPr>
            </w:pPr>
            <w:r w:rsidRPr="00107C56">
              <w:rPr>
                <w:szCs w:val="28"/>
                <w:highlight w:val="white"/>
              </w:rPr>
              <w:t>(</w:t>
            </w:r>
            <w:r w:rsidR="00752E39" w:rsidRPr="00107C56">
              <w:rPr>
                <w:szCs w:val="28"/>
                <w:highlight w:val="white"/>
              </w:rPr>
              <w:t>1.014069</w:t>
            </w:r>
            <w:r w:rsidRPr="00107C56">
              <w:rPr>
                <w:szCs w:val="28"/>
                <w:highlight w:val="white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30A71F" w14:textId="1B14D2D3" w:rsidR="006F379D" w:rsidRPr="00107C56" w:rsidRDefault="00084E89" w:rsidP="00836342">
            <w:pPr>
              <w:spacing w:after="0" w:line="240" w:lineRule="auto"/>
              <w:jc w:val="center"/>
              <w:rPr>
                <w:rFonts w:eastAsia="Calibri" w:cs="Times New Roman"/>
                <w:bCs/>
                <w:sz w:val="26"/>
                <w:szCs w:val="26"/>
              </w:rPr>
            </w:pPr>
            <w:r w:rsidRPr="00107C56">
              <w:rPr>
                <w:rFonts w:eastAsia="Calibri" w:cs="Times New Roman"/>
                <w:sz w:val="26"/>
                <w:szCs w:val="26"/>
              </w:rPr>
              <w:t>05 ngày làm việc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4885124" w14:textId="2B63EBB1" w:rsidR="006F379D" w:rsidRPr="00107C56" w:rsidRDefault="006F379D" w:rsidP="00D43B22">
            <w:pPr>
              <w:spacing w:before="120" w:after="120"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107C56">
              <w:rPr>
                <w:rFonts w:eastAsia="Calibri" w:cs="Times New Roman"/>
                <w:b/>
                <w:sz w:val="26"/>
                <w:szCs w:val="26"/>
              </w:rPr>
              <w:t>- Cơ quan, đơn vị tiếp nhận và trả kết quả:</w:t>
            </w:r>
            <w:r w:rsidRPr="00107C56">
              <w:rPr>
                <w:rFonts w:eastAsia="Calibri" w:cs="Times New Roman"/>
                <w:sz w:val="26"/>
                <w:szCs w:val="26"/>
              </w:rPr>
              <w:t xml:space="preserve"> Trung tâm Phục vụ hành chính công tỉnh Lạng Sơn. Địa chỉ: phố Dã Tượng, phường </w:t>
            </w:r>
            <w:r w:rsidR="00896BBA" w:rsidRPr="00107C56">
              <w:rPr>
                <w:rFonts w:eastAsia="Calibri" w:cs="Times New Roman"/>
                <w:sz w:val="26"/>
                <w:szCs w:val="26"/>
              </w:rPr>
              <w:t>Lương Văn Tri</w:t>
            </w:r>
            <w:r w:rsidRPr="00107C56">
              <w:rPr>
                <w:rFonts w:eastAsia="Calibri" w:cs="Times New Roman"/>
                <w:sz w:val="26"/>
                <w:szCs w:val="26"/>
              </w:rPr>
              <w:t>, tỉnh Lạng Sơn.</w:t>
            </w:r>
          </w:p>
          <w:p w14:paraId="4C9D95BD" w14:textId="62600852" w:rsidR="006F379D" w:rsidRPr="00107C56" w:rsidRDefault="006F379D" w:rsidP="00D43B22">
            <w:pPr>
              <w:spacing w:before="120" w:after="120" w:line="240" w:lineRule="auto"/>
              <w:jc w:val="both"/>
              <w:rPr>
                <w:rFonts w:eastAsia="Calibri" w:cs="Times New Roman"/>
                <w:bCs/>
                <w:sz w:val="26"/>
                <w:szCs w:val="26"/>
              </w:rPr>
            </w:pPr>
            <w:r w:rsidRPr="00107C56">
              <w:rPr>
                <w:rFonts w:eastAsia="Calibri" w:cs="Times New Roman"/>
                <w:b/>
                <w:sz w:val="26"/>
                <w:szCs w:val="26"/>
              </w:rPr>
              <w:t>- Cơ quan thực hiện:</w:t>
            </w:r>
            <w:r w:rsidRPr="00107C56">
              <w:rPr>
                <w:rFonts w:eastAsia="Calibri" w:cs="Times New Roman"/>
                <w:sz w:val="26"/>
                <w:szCs w:val="26"/>
              </w:rPr>
              <w:t xml:space="preserve"> Sở Y tế tỉnh Lạng Sơn: Số 50 Đinh Tiên Hoàng, phường </w:t>
            </w:r>
            <w:r w:rsidR="007C3CD6" w:rsidRPr="00107C56">
              <w:rPr>
                <w:rFonts w:eastAsia="Calibri" w:cs="Times New Roman"/>
                <w:sz w:val="26"/>
                <w:szCs w:val="26"/>
              </w:rPr>
              <w:t>Lương Văn Tri</w:t>
            </w:r>
            <w:r w:rsidRPr="00107C56">
              <w:rPr>
                <w:rFonts w:eastAsia="Calibri" w:cs="Times New Roman"/>
                <w:sz w:val="26"/>
                <w:szCs w:val="26"/>
              </w:rPr>
              <w:t>, tỉnh lạng Sơn.</w:t>
            </w:r>
          </w:p>
        </w:tc>
        <w:tc>
          <w:tcPr>
            <w:tcW w:w="2552" w:type="dxa"/>
            <w:vAlign w:val="center"/>
          </w:tcPr>
          <w:p w14:paraId="54864E53" w14:textId="4137C509" w:rsidR="006F379D" w:rsidRPr="00107C56" w:rsidRDefault="006F379D" w:rsidP="00D43B22">
            <w:pPr>
              <w:spacing w:before="120" w:after="120" w:line="240" w:lineRule="auto"/>
              <w:ind w:firstLine="34"/>
              <w:jc w:val="both"/>
              <w:rPr>
                <w:rFonts w:eastAsia="Calibri" w:cs="Times New Roman"/>
                <w:sz w:val="26"/>
                <w:szCs w:val="26"/>
                <w:shd w:val="clear" w:color="auto" w:fill="FFFFFF"/>
              </w:rPr>
            </w:pPr>
            <w:r w:rsidRPr="00107C56">
              <w:rPr>
                <w:rFonts w:eastAsia="Calibri" w:cs="Times New Roman"/>
                <w:sz w:val="26"/>
                <w:szCs w:val="26"/>
                <w:shd w:val="clear" w:color="auto" w:fill="FFFFFF"/>
              </w:rPr>
              <w:t>- Tiếp  nhận  hồ  sơ  và trả kết quả trực tiếp</w:t>
            </w:r>
            <w:r w:rsidR="00D43B22" w:rsidRPr="00107C56">
              <w:rPr>
                <w:rFonts w:eastAsia="Calibri" w:cs="Times New Roman"/>
                <w:sz w:val="26"/>
                <w:szCs w:val="26"/>
                <w:shd w:val="clear" w:color="auto" w:fill="FFFFFF"/>
              </w:rPr>
              <w:t>.</w:t>
            </w:r>
          </w:p>
          <w:p w14:paraId="3F7797C0" w14:textId="77777777" w:rsidR="006F379D" w:rsidRPr="00107C56" w:rsidRDefault="006F379D" w:rsidP="00D43B22">
            <w:pPr>
              <w:spacing w:before="120" w:after="120" w:line="240" w:lineRule="auto"/>
              <w:ind w:firstLine="34"/>
              <w:jc w:val="both"/>
              <w:rPr>
                <w:rFonts w:eastAsia="Calibri" w:cs="Times New Roman"/>
                <w:sz w:val="26"/>
                <w:szCs w:val="26"/>
                <w:shd w:val="clear" w:color="auto" w:fill="FFFFFF"/>
              </w:rPr>
            </w:pPr>
            <w:r w:rsidRPr="00107C56">
              <w:rPr>
                <w:rFonts w:eastAsia="Calibri" w:cs="Times New Roman"/>
                <w:sz w:val="26"/>
                <w:szCs w:val="26"/>
                <w:shd w:val="clear" w:color="auto" w:fill="FFFFFF"/>
              </w:rPr>
              <w:t>- Tiếp nhận và trả kết quả  qua  dịch  vụ  bưu chính công ích;</w:t>
            </w:r>
          </w:p>
          <w:p w14:paraId="6A05732B" w14:textId="76A5ECAB" w:rsidR="006F379D" w:rsidRPr="00107C56" w:rsidRDefault="006F379D" w:rsidP="00D43B22">
            <w:pPr>
              <w:spacing w:before="120" w:after="120" w:line="240" w:lineRule="auto"/>
              <w:jc w:val="both"/>
              <w:rPr>
                <w:rFonts w:eastAsia="Calibri" w:cs="Times New Roman"/>
                <w:bCs/>
                <w:sz w:val="26"/>
                <w:szCs w:val="26"/>
              </w:rPr>
            </w:pPr>
            <w:r w:rsidRPr="00107C56">
              <w:rPr>
                <w:rFonts w:eastAsia="Calibri" w:cs="Times New Roman"/>
                <w:sz w:val="26"/>
                <w:szCs w:val="26"/>
                <w:shd w:val="clear" w:color="auto" w:fill="FFFFFF"/>
              </w:rPr>
              <w:t>- Tiếp nhận hồ sơ qua dịch vụ công trực tuyến tại     địa     chỉ:</w:t>
            </w:r>
            <w:r w:rsidRPr="00107C56"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="001C4EBD" w:rsidRPr="00107C56">
              <w:rPr>
                <w:rFonts w:eastAsia="Calibri" w:cs="Times New Roman"/>
                <w:sz w:val="26"/>
                <w:szCs w:val="26"/>
              </w:rPr>
              <w:t>.</w:t>
            </w:r>
            <w:r w:rsidR="00D43B22" w:rsidRPr="00107C56">
              <w:rPr>
                <w:rFonts w:eastAsia="Calibri" w:cs="Times New Roman"/>
                <w:sz w:val="26"/>
                <w:szCs w:val="26"/>
                <w:u w:val="single"/>
              </w:rPr>
              <w:t xml:space="preserve">https://dichvucong.gov.vn. </w:t>
            </w:r>
          </w:p>
        </w:tc>
        <w:tc>
          <w:tcPr>
            <w:tcW w:w="1134" w:type="dxa"/>
            <w:vAlign w:val="center"/>
          </w:tcPr>
          <w:p w14:paraId="6E203154" w14:textId="237FAFD3" w:rsidR="006F379D" w:rsidRPr="00107C56" w:rsidRDefault="008F2724" w:rsidP="00D43B22">
            <w:pPr>
              <w:spacing w:before="120" w:after="12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07C56">
              <w:rPr>
                <w:rFonts w:eastAsia="Calibri" w:cs="Times New Roman"/>
                <w:sz w:val="26"/>
                <w:szCs w:val="26"/>
              </w:rPr>
              <w:t>Không quy định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BF160FB" w14:textId="6E4DB1EB" w:rsidR="00836342" w:rsidRPr="00107C56" w:rsidRDefault="00D43B22" w:rsidP="00D43B22">
            <w:pPr>
              <w:spacing w:before="120" w:after="120" w:line="240" w:lineRule="auto"/>
              <w:jc w:val="both"/>
              <w:rPr>
                <w:iCs/>
                <w:szCs w:val="28"/>
                <w:highlight w:val="white"/>
              </w:rPr>
            </w:pPr>
            <w:r w:rsidRPr="00107C56">
              <w:rPr>
                <w:iCs/>
                <w:szCs w:val="28"/>
                <w:highlight w:val="white"/>
              </w:rPr>
              <w:t xml:space="preserve">1. </w:t>
            </w:r>
            <w:r w:rsidR="00836342" w:rsidRPr="00107C56">
              <w:rPr>
                <w:iCs/>
                <w:szCs w:val="28"/>
                <w:highlight w:val="white"/>
              </w:rPr>
              <w:t xml:space="preserve">Luật </w:t>
            </w:r>
            <w:r w:rsidR="00836342" w:rsidRPr="00107C56">
              <w:rPr>
                <w:iCs/>
                <w:szCs w:val="28"/>
                <w:highlight w:val="white"/>
                <w:u w:color="FF0000"/>
              </w:rPr>
              <w:t>Dược số</w:t>
            </w:r>
            <w:r w:rsidR="00836342" w:rsidRPr="00107C56">
              <w:rPr>
                <w:iCs/>
                <w:szCs w:val="28"/>
                <w:highlight w:val="white"/>
              </w:rPr>
              <w:t xml:space="preserve"> 105/2016/QH13 ngày 06/4/2016.</w:t>
            </w:r>
          </w:p>
          <w:p w14:paraId="5DBFA974" w14:textId="4F5BDB20" w:rsidR="00836342" w:rsidRPr="00107C56" w:rsidRDefault="00836342" w:rsidP="00D43B22">
            <w:pPr>
              <w:spacing w:before="120" w:after="120" w:line="240" w:lineRule="auto"/>
              <w:jc w:val="both"/>
              <w:rPr>
                <w:szCs w:val="28"/>
                <w:highlight w:val="white"/>
              </w:rPr>
            </w:pPr>
            <w:r w:rsidRPr="00107C56">
              <w:rPr>
                <w:szCs w:val="28"/>
                <w:highlight w:val="white"/>
              </w:rPr>
              <w:t>2. Luật số 44/2024/QH15 ngày 21/11/2024.</w:t>
            </w:r>
          </w:p>
          <w:p w14:paraId="1CD4A5A1" w14:textId="2CAAB5DC" w:rsidR="00836342" w:rsidRPr="00107C56" w:rsidRDefault="00836342" w:rsidP="00D43B22">
            <w:pPr>
              <w:spacing w:before="120" w:after="120" w:line="240" w:lineRule="auto"/>
              <w:ind w:firstLine="6"/>
              <w:jc w:val="both"/>
              <w:rPr>
                <w:rFonts w:eastAsia="Times New Roman"/>
                <w:szCs w:val="28"/>
              </w:rPr>
            </w:pPr>
            <w:r w:rsidRPr="00107C56">
              <w:rPr>
                <w:rFonts w:eastAsia="Times New Roman"/>
                <w:iCs/>
                <w:szCs w:val="28"/>
              </w:rPr>
              <w:t xml:space="preserve">3. </w:t>
            </w:r>
            <w:r w:rsidRPr="00107C56">
              <w:rPr>
                <w:rFonts w:eastAsia="Times New Roman"/>
                <w:iCs/>
                <w:szCs w:val="28"/>
                <w:shd w:val="clear" w:color="auto" w:fill="FFFFFF"/>
              </w:rPr>
              <w:t>Nghị định số 163/2025/NĐ-CP ngày 29/6/2025 của Chính phủ quy định chi tiết một số điều và biện pháp để tổ chức, hướng dẫn thi hành </w:t>
            </w:r>
            <w:hyperlink r:id="rId8" w:tgtFrame="_blank" w:history="1">
              <w:r w:rsidRPr="00107C56">
                <w:rPr>
                  <w:rFonts w:eastAsia="Times New Roman"/>
                  <w:iCs/>
                  <w:szCs w:val="28"/>
                  <w:shd w:val="clear" w:color="auto" w:fill="FFFFFF"/>
                </w:rPr>
                <w:t>Luật Dược</w:t>
              </w:r>
            </w:hyperlink>
          </w:p>
          <w:p w14:paraId="11184AD8" w14:textId="55BD127A" w:rsidR="006F379D" w:rsidRPr="00107C56" w:rsidRDefault="00836342" w:rsidP="00D43B22">
            <w:pPr>
              <w:spacing w:before="120" w:after="120" w:line="240" w:lineRule="auto"/>
              <w:jc w:val="both"/>
              <w:rPr>
                <w:rFonts w:eastAsia="Calibri" w:cs="Times New Roman"/>
                <w:bCs/>
                <w:sz w:val="26"/>
                <w:szCs w:val="26"/>
              </w:rPr>
            </w:pPr>
            <w:r w:rsidRPr="00107C56">
              <w:rPr>
                <w:rFonts w:eastAsia="Times New Roman"/>
                <w:bCs/>
                <w:szCs w:val="28"/>
                <w:highlight w:val="white"/>
                <w:lang w:val="es-ES"/>
              </w:rPr>
              <w:t xml:space="preserve">4. </w:t>
            </w:r>
            <w:r w:rsidRPr="00107C56">
              <w:rPr>
                <w:rFonts w:eastAsia="Times New Roman"/>
                <w:bCs/>
                <w:spacing w:val="4"/>
                <w:szCs w:val="28"/>
                <w:highlight w:val="white"/>
                <w:lang w:val="es-ES"/>
              </w:rPr>
              <w:t>Thông tư số 31/2025/TT-BYT ngày 01/7/</w:t>
            </w:r>
            <w:r w:rsidRPr="00107C56">
              <w:rPr>
                <w:rFonts w:eastAsia="Times New Roman"/>
                <w:bCs/>
                <w:spacing w:val="4"/>
                <w:szCs w:val="28"/>
                <w:highlight w:val="white"/>
              </w:rPr>
              <w:t>2025</w:t>
            </w:r>
            <w:r w:rsidRPr="00107C56">
              <w:rPr>
                <w:rFonts w:eastAsia="Times New Roman"/>
                <w:bCs/>
                <w:spacing w:val="4"/>
                <w:szCs w:val="28"/>
                <w:highlight w:val="white"/>
                <w:lang w:val="es-ES"/>
              </w:rPr>
              <w:t xml:space="preserve"> của Bộ trưởng Bộ Y tế </w:t>
            </w:r>
            <w:r w:rsidRPr="00107C56">
              <w:rPr>
                <w:rFonts w:eastAsia="Times New Roman"/>
                <w:szCs w:val="28"/>
                <w:highlight w:val="white"/>
              </w:rPr>
              <w:t xml:space="preserve">quy định chi tiết một số điều của Luật Dược và </w:t>
            </w:r>
            <w:r w:rsidRPr="00107C56">
              <w:rPr>
                <w:rFonts w:eastAsia="Times New Roman"/>
                <w:iCs/>
                <w:szCs w:val="28"/>
                <w:shd w:val="clear" w:color="auto" w:fill="FFFFFF"/>
              </w:rPr>
              <w:t>Nghị định số 163/2025/NĐ-CP ngày 29</w:t>
            </w:r>
            <w:r w:rsidR="00DB6EBD" w:rsidRPr="00107C56">
              <w:rPr>
                <w:rFonts w:eastAsia="Times New Roman"/>
                <w:iCs/>
                <w:szCs w:val="28"/>
                <w:shd w:val="clear" w:color="auto" w:fill="FFFFFF"/>
              </w:rPr>
              <w:t>/</w:t>
            </w:r>
            <w:r w:rsidRPr="00107C56">
              <w:rPr>
                <w:rFonts w:eastAsia="Times New Roman"/>
                <w:iCs/>
                <w:szCs w:val="28"/>
                <w:shd w:val="clear" w:color="auto" w:fill="FFFFFF"/>
              </w:rPr>
              <w:t>6</w:t>
            </w:r>
            <w:r w:rsidR="00DB6EBD" w:rsidRPr="00107C56">
              <w:rPr>
                <w:rFonts w:eastAsia="Times New Roman"/>
                <w:iCs/>
                <w:szCs w:val="28"/>
                <w:shd w:val="clear" w:color="auto" w:fill="FFFFFF"/>
              </w:rPr>
              <w:t>/</w:t>
            </w:r>
            <w:r w:rsidRPr="00107C56">
              <w:rPr>
                <w:rFonts w:eastAsia="Times New Roman"/>
                <w:iCs/>
                <w:szCs w:val="28"/>
                <w:shd w:val="clear" w:color="auto" w:fill="FFFFFF"/>
              </w:rPr>
              <w:t>2025 của Chính phủ quy định chi tiết một số điều và biện pháp để tổ chức, hướng dẫn thi hành </w:t>
            </w:r>
            <w:hyperlink r:id="rId9" w:tgtFrame="_blank" w:history="1">
              <w:r w:rsidRPr="00107C56">
                <w:rPr>
                  <w:rFonts w:eastAsia="Times New Roman"/>
                  <w:iCs/>
                  <w:szCs w:val="28"/>
                  <w:shd w:val="clear" w:color="auto" w:fill="FFFFFF"/>
                </w:rPr>
                <w:t>Luật Dược</w:t>
              </w:r>
            </w:hyperlink>
            <w:r w:rsidR="00D43B22" w:rsidRPr="00107C56">
              <w:rPr>
                <w:rFonts w:eastAsia="Times New Roman"/>
                <w:iCs/>
                <w:szCs w:val="28"/>
                <w:shd w:val="clear" w:color="auto" w:fill="FFFFFF"/>
              </w:rPr>
              <w:t>.</w:t>
            </w:r>
          </w:p>
        </w:tc>
      </w:tr>
    </w:tbl>
    <w:p w14:paraId="6848295B" w14:textId="77777777" w:rsidR="00D43B22" w:rsidRPr="00107C56" w:rsidRDefault="00D43B22" w:rsidP="00B07141">
      <w:pPr>
        <w:rPr>
          <w:rFonts w:eastAsia="Calibri" w:cs="Times New Roman"/>
          <w:b/>
          <w:bCs/>
          <w:szCs w:val="28"/>
          <w14:ligatures w14:val="none"/>
        </w:rPr>
      </w:pPr>
    </w:p>
    <w:p w14:paraId="68168D1C" w14:textId="224F6585" w:rsidR="00B07141" w:rsidRPr="00107C56" w:rsidRDefault="00D43B22" w:rsidP="00B07141">
      <w:pPr>
        <w:rPr>
          <w:rFonts w:eastAsia="Calibri" w:cs="Times New Roman"/>
          <w:b/>
          <w:bCs/>
          <w:szCs w:val="28"/>
          <w14:ligatures w14:val="none"/>
        </w:rPr>
      </w:pPr>
      <w:r w:rsidRPr="00107C56">
        <w:rPr>
          <w:rFonts w:eastAsia="Calibri" w:cs="Times New Roman"/>
          <w:b/>
          <w:bCs/>
          <w:szCs w:val="28"/>
          <w14:ligatures w14:val="none"/>
        </w:rPr>
        <w:lastRenderedPageBreak/>
        <w:t xml:space="preserve">    </w:t>
      </w:r>
      <w:r w:rsidRPr="00107C56">
        <w:rPr>
          <w:rFonts w:eastAsia="Calibri" w:cs="Times New Roman"/>
          <w:b/>
          <w:bCs/>
          <w:szCs w:val="28"/>
          <w14:ligatures w14:val="none"/>
        </w:rPr>
        <w:tab/>
      </w:r>
      <w:r w:rsidRPr="00107C56">
        <w:rPr>
          <w:rFonts w:eastAsia="Calibri" w:cs="Times New Roman"/>
          <w:b/>
          <w:bCs/>
          <w:szCs w:val="28"/>
          <w14:ligatures w14:val="none"/>
        </w:rPr>
        <w:tab/>
      </w:r>
      <w:r w:rsidR="00B07141" w:rsidRPr="00107C56">
        <w:rPr>
          <w:rFonts w:eastAsia="Calibri" w:cs="Times New Roman"/>
          <w:b/>
          <w:bCs/>
          <w:szCs w:val="28"/>
          <w14:ligatures w14:val="none"/>
        </w:rPr>
        <w:t>II. DANH MỤC THỦ TỤC HÀNH CHÍNH BỊ BÃI BỎ</w:t>
      </w:r>
      <w:r w:rsidR="00147B62" w:rsidRPr="00107C56">
        <w:rPr>
          <w:rFonts w:eastAsia="Calibri" w:cs="Times New Roman"/>
          <w:b/>
          <w:bCs/>
          <w:szCs w:val="28"/>
          <w14:ligatures w14:val="none"/>
        </w:rPr>
        <w:t xml:space="preserve"> </w:t>
      </w:r>
      <w:r w:rsidR="00147B62" w:rsidRPr="00107C56">
        <w:rPr>
          <w:rFonts w:eastAsia="Calibri" w:cs="Times New Roman"/>
          <w:b/>
          <w:bCs/>
          <w:iCs/>
          <w:szCs w:val="28"/>
        </w:rPr>
        <w:t>(01 TTHC CẤP TỈNH)</w:t>
      </w:r>
    </w:p>
    <w:tbl>
      <w:tblPr>
        <w:tblStyle w:val="TableGrid1"/>
        <w:tblW w:w="1488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2845"/>
        <w:gridCol w:w="4975"/>
        <w:gridCol w:w="4654"/>
      </w:tblGrid>
      <w:tr w:rsidR="00107C56" w:rsidRPr="00107C56" w14:paraId="64B9D455" w14:textId="77777777" w:rsidTr="00D43B22">
        <w:trPr>
          <w:trHeight w:val="1050"/>
        </w:trPr>
        <w:tc>
          <w:tcPr>
            <w:tcW w:w="709" w:type="dxa"/>
            <w:shd w:val="clear" w:color="auto" w:fill="auto"/>
            <w:vAlign w:val="center"/>
            <w:hideMark/>
          </w:tcPr>
          <w:p w14:paraId="44306634" w14:textId="77777777" w:rsidR="00B07141" w:rsidRPr="00107C56" w:rsidRDefault="00B07141" w:rsidP="00B07141">
            <w:pPr>
              <w:rPr>
                <w:rFonts w:eastAsia="Calibri" w:cs="Times New Roman"/>
                <w:b/>
                <w:szCs w:val="28"/>
              </w:rPr>
            </w:pPr>
            <w:r w:rsidRPr="00107C56">
              <w:rPr>
                <w:rFonts w:eastAsia="Calibri" w:cs="Times New Roman"/>
                <w:b/>
                <w:szCs w:val="28"/>
              </w:rPr>
              <w:t>Số TT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FCDBC79" w14:textId="77777777" w:rsidR="00B07141" w:rsidRPr="00107C56" w:rsidRDefault="00B07141" w:rsidP="00B07141">
            <w:pPr>
              <w:rPr>
                <w:rFonts w:eastAsia="Calibri" w:cs="Times New Roman"/>
                <w:b/>
                <w:bCs/>
                <w:szCs w:val="28"/>
              </w:rPr>
            </w:pPr>
            <w:r w:rsidRPr="00107C56">
              <w:rPr>
                <w:rFonts w:eastAsia="Calibri" w:cs="Times New Roman"/>
                <w:b/>
                <w:bCs/>
                <w:szCs w:val="28"/>
              </w:rPr>
              <w:t>Mã số TTHC</w:t>
            </w:r>
          </w:p>
        </w:tc>
        <w:tc>
          <w:tcPr>
            <w:tcW w:w="2845" w:type="dxa"/>
            <w:shd w:val="clear" w:color="auto" w:fill="auto"/>
            <w:vAlign w:val="center"/>
            <w:hideMark/>
          </w:tcPr>
          <w:p w14:paraId="62C430CB" w14:textId="77777777" w:rsidR="00B07141" w:rsidRPr="00107C56" w:rsidRDefault="00B07141" w:rsidP="00B07141">
            <w:pPr>
              <w:rPr>
                <w:rFonts w:eastAsia="Calibri" w:cs="Times New Roman"/>
                <w:b/>
                <w:bCs/>
                <w:szCs w:val="28"/>
              </w:rPr>
            </w:pPr>
            <w:r w:rsidRPr="00107C56">
              <w:rPr>
                <w:rFonts w:eastAsia="Calibri" w:cs="Times New Roman"/>
                <w:b/>
                <w:bCs/>
                <w:szCs w:val="28"/>
              </w:rPr>
              <w:t>Tên TTHC</w:t>
            </w:r>
          </w:p>
        </w:tc>
        <w:tc>
          <w:tcPr>
            <w:tcW w:w="4975" w:type="dxa"/>
            <w:shd w:val="clear" w:color="auto" w:fill="auto"/>
            <w:vAlign w:val="center"/>
            <w:hideMark/>
          </w:tcPr>
          <w:p w14:paraId="1B90B67D" w14:textId="77777777" w:rsidR="00B07141" w:rsidRPr="00107C56" w:rsidRDefault="00B07141" w:rsidP="00B07141">
            <w:pPr>
              <w:rPr>
                <w:rFonts w:eastAsia="Calibri" w:cs="Times New Roman"/>
                <w:b/>
                <w:bCs/>
                <w:szCs w:val="28"/>
              </w:rPr>
            </w:pPr>
            <w:r w:rsidRPr="00107C56">
              <w:rPr>
                <w:rFonts w:eastAsia="Calibri" w:cs="Times New Roman"/>
                <w:b/>
                <w:bCs/>
                <w:szCs w:val="28"/>
              </w:rPr>
              <w:t>Số thứ tự tại quyết định công bố của Chủ tịch UBND tỉnh</w:t>
            </w:r>
          </w:p>
        </w:tc>
        <w:tc>
          <w:tcPr>
            <w:tcW w:w="4654" w:type="dxa"/>
            <w:shd w:val="clear" w:color="auto" w:fill="auto"/>
            <w:vAlign w:val="center"/>
            <w:hideMark/>
          </w:tcPr>
          <w:p w14:paraId="19B58B9D" w14:textId="77777777" w:rsidR="00B07141" w:rsidRPr="00107C56" w:rsidRDefault="00B07141" w:rsidP="00B07141">
            <w:pPr>
              <w:rPr>
                <w:rFonts w:eastAsia="Calibri" w:cs="Times New Roman"/>
                <w:b/>
                <w:bCs/>
                <w:szCs w:val="28"/>
              </w:rPr>
            </w:pPr>
            <w:r w:rsidRPr="00107C56">
              <w:rPr>
                <w:rFonts w:eastAsia="Calibri" w:cs="Times New Roman"/>
                <w:b/>
                <w:bCs/>
                <w:szCs w:val="28"/>
              </w:rPr>
              <w:t>Tên Văn bản QPPL quy định việc bãi bỏ TTHC</w:t>
            </w:r>
          </w:p>
        </w:tc>
      </w:tr>
      <w:tr w:rsidR="00107C56" w:rsidRPr="00107C56" w14:paraId="0E34A3D7" w14:textId="77777777" w:rsidTr="00D43B22">
        <w:trPr>
          <w:trHeight w:val="605"/>
        </w:trPr>
        <w:tc>
          <w:tcPr>
            <w:tcW w:w="709" w:type="dxa"/>
            <w:shd w:val="clear" w:color="auto" w:fill="auto"/>
            <w:vAlign w:val="center"/>
          </w:tcPr>
          <w:p w14:paraId="1465A5C0" w14:textId="77777777" w:rsidR="00B07141" w:rsidRPr="00107C56" w:rsidRDefault="00B07141" w:rsidP="00B07141">
            <w:pPr>
              <w:widowControl w:val="0"/>
              <w:autoSpaceDE w:val="0"/>
              <w:autoSpaceDN w:val="0"/>
              <w:ind w:left="9" w:right="-15"/>
              <w:rPr>
                <w:rFonts w:eastAsia="Times New Roman" w:cs="Times New Roman"/>
                <w:szCs w:val="28"/>
              </w:rPr>
            </w:pPr>
            <w:r w:rsidRPr="00107C56">
              <w:rPr>
                <w:rFonts w:eastAsia="Times New Roman" w:cs="Times New Roman"/>
                <w:szCs w:val="28"/>
              </w:rPr>
              <w:t>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CBB03A0" w14:textId="77777777" w:rsidR="00B07141" w:rsidRPr="00107C56" w:rsidRDefault="0034410A" w:rsidP="00D43B22">
            <w:pPr>
              <w:widowControl w:val="0"/>
              <w:autoSpaceDE w:val="0"/>
              <w:autoSpaceDN w:val="0"/>
              <w:ind w:left="9" w:right="-15"/>
              <w:rPr>
                <w:szCs w:val="28"/>
              </w:rPr>
            </w:pPr>
            <w:r w:rsidRPr="00107C56">
              <w:rPr>
                <w:rFonts w:ascii="Roboto" w:hAnsi="Roboto"/>
                <w:b/>
                <w:bCs/>
                <w:sz w:val="21"/>
                <w:szCs w:val="21"/>
                <w:bdr w:val="none" w:sz="0" w:space="0" w:color="auto" w:frame="1"/>
                <w:shd w:val="clear" w:color="auto" w:fill="FFFFFF"/>
              </w:rPr>
              <w:br/>
            </w:r>
            <w:r w:rsidRPr="00107C56">
              <w:rPr>
                <w:szCs w:val="28"/>
                <w:shd w:val="clear" w:color="auto" w:fill="FFFFFF"/>
              </w:rPr>
              <w:t>1.001893.000</w:t>
            </w:r>
            <w:r w:rsidRPr="00107C56">
              <w:rPr>
                <w:szCs w:val="28"/>
              </w:rPr>
              <w:t>.00.00.H37</w:t>
            </w:r>
          </w:p>
          <w:p w14:paraId="1A9477CA" w14:textId="32ED748E" w:rsidR="00CE7857" w:rsidRPr="00107C56" w:rsidRDefault="00CE7857" w:rsidP="00B07141">
            <w:pPr>
              <w:widowControl w:val="0"/>
              <w:autoSpaceDE w:val="0"/>
              <w:autoSpaceDN w:val="0"/>
              <w:ind w:left="9" w:right="-15"/>
              <w:jc w:val="both"/>
              <w:rPr>
                <w:rFonts w:eastAsia="Times New Roman" w:cs="Times New Roman"/>
                <w:szCs w:val="28"/>
              </w:rPr>
            </w:pPr>
          </w:p>
        </w:tc>
        <w:tc>
          <w:tcPr>
            <w:tcW w:w="2845" w:type="dxa"/>
            <w:shd w:val="clear" w:color="auto" w:fill="FFFFFF"/>
            <w:vAlign w:val="center"/>
          </w:tcPr>
          <w:p w14:paraId="4CC44D55" w14:textId="2817D365" w:rsidR="00B07141" w:rsidRPr="00107C56" w:rsidRDefault="00B07141" w:rsidP="00B07141">
            <w:pPr>
              <w:widowControl w:val="0"/>
              <w:autoSpaceDE w:val="0"/>
              <w:autoSpaceDN w:val="0"/>
              <w:ind w:left="9" w:right="-15"/>
              <w:jc w:val="both"/>
              <w:rPr>
                <w:rFonts w:eastAsia="Times New Roman" w:cs="Times New Roman"/>
                <w:bCs/>
                <w:sz w:val="22"/>
                <w:szCs w:val="28"/>
              </w:rPr>
            </w:pPr>
            <w:r w:rsidRPr="00107C56">
              <w:rPr>
                <w:szCs w:val="28"/>
                <w:shd w:val="clear" w:color="auto" w:fill="FFFFFF"/>
              </w:rPr>
              <w:t>Công bố cơ sở kinh doanh có tổ chức kệ thuốc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21D7A4A0" w14:textId="4C9B7B25" w:rsidR="00A47D90" w:rsidRPr="00107C56" w:rsidRDefault="00D6401E" w:rsidP="00D43B22">
            <w:pPr>
              <w:spacing w:before="120" w:after="120"/>
              <w:jc w:val="both"/>
              <w:rPr>
                <w:rFonts w:eastAsia="Calibri" w:cs="Times New Roman"/>
                <w:bCs/>
                <w:szCs w:val="28"/>
              </w:rPr>
            </w:pPr>
            <w:r w:rsidRPr="00107C56">
              <w:rPr>
                <w:rFonts w:eastAsia="Calibri" w:cs="Times New Roman"/>
                <w:bCs/>
                <w:szCs w:val="28"/>
              </w:rPr>
              <w:t>Số tứ tự 4 tiểu mục II mục A Phụ lục I</w:t>
            </w:r>
            <w:r w:rsidR="00325DA2" w:rsidRPr="00107C56">
              <w:rPr>
                <w:rFonts w:eastAsia="Calibri" w:cs="Times New Roman"/>
                <w:bCs/>
                <w:szCs w:val="28"/>
              </w:rPr>
              <w:t xml:space="preserve"> </w:t>
            </w:r>
            <w:bookmarkStart w:id="1" w:name="_Hlk202952762"/>
            <w:r w:rsidR="00325DA2" w:rsidRPr="00107C56">
              <w:rPr>
                <w:rFonts w:eastAsia="Calibri" w:cs="Times New Roman"/>
                <w:bCs/>
                <w:szCs w:val="28"/>
              </w:rPr>
              <w:t>kèm theo</w:t>
            </w:r>
            <w:r w:rsidRPr="00107C56">
              <w:rPr>
                <w:rFonts w:eastAsia="Calibri" w:cs="Times New Roman"/>
                <w:bCs/>
                <w:szCs w:val="28"/>
              </w:rPr>
              <w:t xml:space="preserve"> Quyết định số 1325/QĐ-UBND ngày 05</w:t>
            </w:r>
            <w:r w:rsidR="001974F2" w:rsidRPr="00107C56">
              <w:rPr>
                <w:rFonts w:eastAsia="Calibri" w:cs="Times New Roman"/>
                <w:bCs/>
                <w:szCs w:val="28"/>
              </w:rPr>
              <w:t>/</w:t>
            </w:r>
            <w:r w:rsidRPr="00107C56">
              <w:rPr>
                <w:rFonts w:eastAsia="Calibri" w:cs="Times New Roman"/>
                <w:bCs/>
                <w:szCs w:val="28"/>
              </w:rPr>
              <w:t>7</w:t>
            </w:r>
            <w:r w:rsidR="001974F2" w:rsidRPr="00107C56">
              <w:rPr>
                <w:rFonts w:eastAsia="Calibri" w:cs="Times New Roman"/>
                <w:bCs/>
                <w:szCs w:val="28"/>
              </w:rPr>
              <w:t>/</w:t>
            </w:r>
            <w:r w:rsidRPr="00107C56">
              <w:rPr>
                <w:rFonts w:eastAsia="Calibri" w:cs="Times New Roman"/>
                <w:bCs/>
                <w:szCs w:val="28"/>
              </w:rPr>
              <w:t xml:space="preserve">2021 của Chủ tịch UBND tỉnh Lạng Sơn </w:t>
            </w:r>
            <w:r w:rsidR="007D2091" w:rsidRPr="00107C56">
              <w:rPr>
                <w:rFonts w:eastAsia="Calibri" w:cs="Times New Roman"/>
                <w:bCs/>
                <w:szCs w:val="28"/>
              </w:rPr>
              <w:t>v</w:t>
            </w:r>
            <w:r w:rsidR="00A47D90" w:rsidRPr="00107C56">
              <w:rPr>
                <w:rFonts w:eastAsia="Calibri" w:cs="Times New Roman"/>
                <w:bCs/>
                <w:szCs w:val="28"/>
              </w:rPr>
              <w:t>ề việc công bố Danh mục thủ tục hành chính chuẩn hoá và phê duyệt</w:t>
            </w:r>
            <w:r w:rsidR="007D2091" w:rsidRPr="00107C56">
              <w:rPr>
                <w:rFonts w:eastAsia="Calibri" w:cs="Times New Roman"/>
                <w:bCs/>
                <w:szCs w:val="28"/>
              </w:rPr>
              <w:t xml:space="preserve"> </w:t>
            </w:r>
            <w:r w:rsidR="00A47D90" w:rsidRPr="00107C56">
              <w:rPr>
                <w:rFonts w:eastAsia="Calibri" w:cs="Times New Roman"/>
                <w:bCs/>
                <w:szCs w:val="28"/>
              </w:rPr>
              <w:t>quy trình nội bộ thuộc thẩm quyền giải quyết của Sở Y tế, UBND</w:t>
            </w:r>
            <w:r w:rsidR="005827A6" w:rsidRPr="00107C56">
              <w:rPr>
                <w:rFonts w:eastAsia="Calibri" w:cs="Times New Roman"/>
                <w:bCs/>
                <w:szCs w:val="28"/>
              </w:rPr>
              <w:t xml:space="preserve"> </w:t>
            </w:r>
            <w:r w:rsidR="00A47D90" w:rsidRPr="00107C56">
              <w:rPr>
                <w:rFonts w:eastAsia="Calibri" w:cs="Times New Roman"/>
                <w:bCs/>
                <w:szCs w:val="28"/>
              </w:rPr>
              <w:t>cấp huyện, UBND cấp xã tỉnh Lạng Sơn</w:t>
            </w:r>
            <w:bookmarkEnd w:id="1"/>
            <w:r w:rsidR="005827A6" w:rsidRPr="00107C56">
              <w:rPr>
                <w:rFonts w:eastAsia="Calibri" w:cs="Times New Roman"/>
                <w:bCs/>
                <w:szCs w:val="28"/>
              </w:rPr>
              <w:t>.</w:t>
            </w:r>
          </w:p>
        </w:tc>
        <w:tc>
          <w:tcPr>
            <w:tcW w:w="4654" w:type="dxa"/>
            <w:shd w:val="clear" w:color="auto" w:fill="auto"/>
            <w:vAlign w:val="center"/>
          </w:tcPr>
          <w:p w14:paraId="68D3536E" w14:textId="60C01729" w:rsidR="00B07141" w:rsidRPr="00107C56" w:rsidRDefault="0034410A" w:rsidP="00D43B22">
            <w:pPr>
              <w:spacing w:before="120" w:after="120"/>
              <w:jc w:val="both"/>
              <w:rPr>
                <w:rFonts w:eastAsia="Calibri" w:cs="Times New Roman"/>
                <w:bCs/>
                <w:szCs w:val="28"/>
              </w:rPr>
            </w:pPr>
            <w:r w:rsidRPr="00107C56">
              <w:rPr>
                <w:rFonts w:eastAsia="Calibri"/>
                <w:spacing w:val="-6"/>
                <w:szCs w:val="28"/>
                <w:highlight w:val="white"/>
              </w:rPr>
              <w:t xml:space="preserve">Thông tư </w:t>
            </w:r>
            <w:r w:rsidRPr="00107C56">
              <w:rPr>
                <w:rStyle w:val="fontstyle01"/>
                <w:color w:val="auto"/>
                <w:highlight w:val="white"/>
              </w:rPr>
              <w:t>số 31/2025/TT-BYT ngày 01/7/2025</w:t>
            </w:r>
            <w:r w:rsidRPr="00107C56">
              <w:rPr>
                <w:szCs w:val="28"/>
                <w:highlight w:val="white"/>
              </w:rPr>
              <w:t xml:space="preserve"> </w:t>
            </w:r>
            <w:r w:rsidRPr="00107C56">
              <w:rPr>
                <w:rFonts w:eastAsia="Times New Roman"/>
                <w:szCs w:val="28"/>
                <w:highlight w:val="white"/>
              </w:rPr>
              <w:t xml:space="preserve">của Bộ trưởng Bộ Y tế </w:t>
            </w:r>
            <w:r w:rsidRPr="00107C56">
              <w:rPr>
                <w:szCs w:val="28"/>
              </w:rPr>
              <w:t>quy định chi tiết một số điều của Luật Dược và Nghị định số 163/2025/NĐ-CP ngày 29/6/2025 của Chính phủ quy định chi tiết một số điều và biện pháp để tổ chức, hướng dẫn thi hành Luật Dược</w:t>
            </w:r>
            <w:r w:rsidR="00682BB9" w:rsidRPr="00107C56">
              <w:rPr>
                <w:szCs w:val="28"/>
              </w:rPr>
              <w:t>.</w:t>
            </w:r>
          </w:p>
        </w:tc>
      </w:tr>
    </w:tbl>
    <w:p w14:paraId="2E7381E3" w14:textId="1F1F3638" w:rsidR="0053636E" w:rsidRPr="00107C56" w:rsidRDefault="007B77F1">
      <w:r w:rsidRPr="00107C56">
        <w:t xml:space="preserve">                                                                              ____________________________________</w:t>
      </w:r>
      <w:bookmarkEnd w:id="0"/>
    </w:p>
    <w:sectPr w:rsidR="0053636E" w:rsidRPr="00107C56" w:rsidSect="00D43B22">
      <w:headerReference w:type="default" r:id="rId10"/>
      <w:pgSz w:w="16840" w:h="11907" w:orient="landscape" w:code="9"/>
      <w:pgMar w:top="1134" w:right="851" w:bottom="1134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E57E93" w14:textId="77777777" w:rsidR="006022EA" w:rsidRDefault="006022EA" w:rsidP="00D43B22">
      <w:pPr>
        <w:spacing w:after="0" w:line="240" w:lineRule="auto"/>
      </w:pPr>
      <w:r>
        <w:separator/>
      </w:r>
    </w:p>
  </w:endnote>
  <w:endnote w:type="continuationSeparator" w:id="0">
    <w:p w14:paraId="1C8F2787" w14:textId="77777777" w:rsidR="006022EA" w:rsidRDefault="006022EA" w:rsidP="00D43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B909B" w14:textId="77777777" w:rsidR="006022EA" w:rsidRDefault="006022EA" w:rsidP="00D43B22">
      <w:pPr>
        <w:spacing w:after="0" w:line="240" w:lineRule="auto"/>
      </w:pPr>
      <w:r>
        <w:separator/>
      </w:r>
    </w:p>
  </w:footnote>
  <w:footnote w:type="continuationSeparator" w:id="0">
    <w:p w14:paraId="450FC2BA" w14:textId="77777777" w:rsidR="006022EA" w:rsidRDefault="006022EA" w:rsidP="00D43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620902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A9A1067" w14:textId="6AD67AF8" w:rsidR="00D43B22" w:rsidRDefault="00D43B2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7C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D50CEA" w14:textId="77777777" w:rsidR="00D43B22" w:rsidRDefault="00D43B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738D9"/>
    <w:multiLevelType w:val="hybridMultilevel"/>
    <w:tmpl w:val="EB1C3F58"/>
    <w:lvl w:ilvl="0" w:tplc="2D429524">
      <w:start w:val="1"/>
      <w:numFmt w:val="decimal"/>
      <w:lvlText w:val="%1"/>
      <w:lvlJc w:val="center"/>
      <w:pPr>
        <w:ind w:left="10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79D"/>
    <w:rsid w:val="000449DF"/>
    <w:rsid w:val="00082A6E"/>
    <w:rsid w:val="00084E89"/>
    <w:rsid w:val="000A0845"/>
    <w:rsid w:val="000A0F38"/>
    <w:rsid w:val="000B75C4"/>
    <w:rsid w:val="00107C56"/>
    <w:rsid w:val="00124AD4"/>
    <w:rsid w:val="00141FCC"/>
    <w:rsid w:val="00144217"/>
    <w:rsid w:val="00147B62"/>
    <w:rsid w:val="001856BF"/>
    <w:rsid w:val="001974F2"/>
    <w:rsid w:val="001B0C57"/>
    <w:rsid w:val="001C4EBD"/>
    <w:rsid w:val="00217E60"/>
    <w:rsid w:val="00220C6F"/>
    <w:rsid w:val="0022553E"/>
    <w:rsid w:val="002418B7"/>
    <w:rsid w:val="00242F98"/>
    <w:rsid w:val="002856D6"/>
    <w:rsid w:val="002B22D7"/>
    <w:rsid w:val="002B7143"/>
    <w:rsid w:val="00306DBE"/>
    <w:rsid w:val="00325DA2"/>
    <w:rsid w:val="0034410A"/>
    <w:rsid w:val="00345277"/>
    <w:rsid w:val="00386664"/>
    <w:rsid w:val="003C7A43"/>
    <w:rsid w:val="003F5494"/>
    <w:rsid w:val="004442A5"/>
    <w:rsid w:val="00465E00"/>
    <w:rsid w:val="0047472B"/>
    <w:rsid w:val="004D144B"/>
    <w:rsid w:val="004E28FA"/>
    <w:rsid w:val="004E6F97"/>
    <w:rsid w:val="00501D06"/>
    <w:rsid w:val="00510CE1"/>
    <w:rsid w:val="00535164"/>
    <w:rsid w:val="0053636E"/>
    <w:rsid w:val="00551469"/>
    <w:rsid w:val="005555B9"/>
    <w:rsid w:val="00571EDC"/>
    <w:rsid w:val="005827A6"/>
    <w:rsid w:val="006022EA"/>
    <w:rsid w:val="0065406F"/>
    <w:rsid w:val="006746F4"/>
    <w:rsid w:val="00677ECF"/>
    <w:rsid w:val="00682BB9"/>
    <w:rsid w:val="006A2155"/>
    <w:rsid w:val="006F01D7"/>
    <w:rsid w:val="006F379D"/>
    <w:rsid w:val="006F4EC2"/>
    <w:rsid w:val="00700004"/>
    <w:rsid w:val="00740556"/>
    <w:rsid w:val="00743734"/>
    <w:rsid w:val="00752E39"/>
    <w:rsid w:val="00764D54"/>
    <w:rsid w:val="007672A6"/>
    <w:rsid w:val="00790F97"/>
    <w:rsid w:val="007B77F1"/>
    <w:rsid w:val="007C3CD6"/>
    <w:rsid w:val="007D2091"/>
    <w:rsid w:val="007D32F2"/>
    <w:rsid w:val="007E59E1"/>
    <w:rsid w:val="007F6CB0"/>
    <w:rsid w:val="008147AA"/>
    <w:rsid w:val="0081488B"/>
    <w:rsid w:val="0083425D"/>
    <w:rsid w:val="00836342"/>
    <w:rsid w:val="00896BBA"/>
    <w:rsid w:val="008D7057"/>
    <w:rsid w:val="008E031B"/>
    <w:rsid w:val="008F2724"/>
    <w:rsid w:val="009363A5"/>
    <w:rsid w:val="00937DB8"/>
    <w:rsid w:val="00956029"/>
    <w:rsid w:val="00972827"/>
    <w:rsid w:val="00975B25"/>
    <w:rsid w:val="009B5F9F"/>
    <w:rsid w:val="009D0362"/>
    <w:rsid w:val="009E360D"/>
    <w:rsid w:val="009E777B"/>
    <w:rsid w:val="00A15E7D"/>
    <w:rsid w:val="00A47D90"/>
    <w:rsid w:val="00AE6B72"/>
    <w:rsid w:val="00B07141"/>
    <w:rsid w:val="00B939E9"/>
    <w:rsid w:val="00C33D48"/>
    <w:rsid w:val="00C63554"/>
    <w:rsid w:val="00C65E43"/>
    <w:rsid w:val="00CA09F3"/>
    <w:rsid w:val="00CA380C"/>
    <w:rsid w:val="00CD64E2"/>
    <w:rsid w:val="00CE7857"/>
    <w:rsid w:val="00CF4FE5"/>
    <w:rsid w:val="00D06D44"/>
    <w:rsid w:val="00D20C1C"/>
    <w:rsid w:val="00D3430C"/>
    <w:rsid w:val="00D43B22"/>
    <w:rsid w:val="00D6401E"/>
    <w:rsid w:val="00D64BB0"/>
    <w:rsid w:val="00D829B7"/>
    <w:rsid w:val="00DB6EBD"/>
    <w:rsid w:val="00DC5986"/>
    <w:rsid w:val="00DE4C91"/>
    <w:rsid w:val="00E33FF6"/>
    <w:rsid w:val="00E517C5"/>
    <w:rsid w:val="00EA5339"/>
    <w:rsid w:val="00EB3F90"/>
    <w:rsid w:val="00EC10DB"/>
    <w:rsid w:val="00F53EB1"/>
    <w:rsid w:val="00FB01D5"/>
    <w:rsid w:val="00FB68DB"/>
    <w:rsid w:val="00FF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97E0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3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3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379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379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379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379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379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379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379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37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37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379D"/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379D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379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379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379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379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379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3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3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379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379D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3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37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37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379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37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379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379D"/>
    <w:rPr>
      <w:b/>
      <w:bCs/>
      <w:smallCaps/>
      <w:color w:val="2F5496" w:themeColor="accent1" w:themeShade="BF"/>
      <w:spacing w:val="5"/>
    </w:rPr>
  </w:style>
  <w:style w:type="table" w:customStyle="1" w:styleId="TableGrid1">
    <w:name w:val="Table Grid1"/>
    <w:basedOn w:val="TableNormal"/>
    <w:next w:val="TableGrid"/>
    <w:uiPriority w:val="59"/>
    <w:rsid w:val="00B07141"/>
    <w:pPr>
      <w:spacing w:after="0" w:line="240" w:lineRule="auto"/>
      <w:jc w:val="center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07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4410A"/>
    <w:rPr>
      <w:b/>
      <w:bCs/>
    </w:rPr>
  </w:style>
  <w:style w:type="character" w:customStyle="1" w:styleId="fontstyle01">
    <w:name w:val="fontstyle01"/>
    <w:rsid w:val="0034410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43B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B22"/>
  </w:style>
  <w:style w:type="paragraph" w:styleId="Footer">
    <w:name w:val="footer"/>
    <w:basedOn w:val="Normal"/>
    <w:link w:val="FooterChar"/>
    <w:uiPriority w:val="99"/>
    <w:unhideWhenUsed/>
    <w:rsid w:val="00D43B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B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3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3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379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379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379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379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379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379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379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37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37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379D"/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379D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379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379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379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379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379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3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3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379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379D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3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37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37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379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37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379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379D"/>
    <w:rPr>
      <w:b/>
      <w:bCs/>
      <w:smallCaps/>
      <w:color w:val="2F5496" w:themeColor="accent1" w:themeShade="BF"/>
      <w:spacing w:val="5"/>
    </w:rPr>
  </w:style>
  <w:style w:type="table" w:customStyle="1" w:styleId="TableGrid1">
    <w:name w:val="Table Grid1"/>
    <w:basedOn w:val="TableNormal"/>
    <w:next w:val="TableGrid"/>
    <w:uiPriority w:val="59"/>
    <w:rsid w:val="00B07141"/>
    <w:pPr>
      <w:spacing w:after="0" w:line="240" w:lineRule="auto"/>
      <w:jc w:val="center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07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4410A"/>
    <w:rPr>
      <w:b/>
      <w:bCs/>
    </w:rPr>
  </w:style>
  <w:style w:type="character" w:customStyle="1" w:styleId="fontstyle01">
    <w:name w:val="fontstyle01"/>
    <w:rsid w:val="0034410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43B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B22"/>
  </w:style>
  <w:style w:type="paragraph" w:styleId="Footer">
    <w:name w:val="footer"/>
    <w:basedOn w:val="Normal"/>
    <w:link w:val="FooterChar"/>
    <w:uiPriority w:val="99"/>
    <w:unhideWhenUsed/>
    <w:rsid w:val="00D43B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uvienphapluat.vn/van-ban/The-thao-Y-te/Luat-Duoc-2016-309815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huvienphapluat.vn/van-ban/The-thao-Y-te/Luat-Duoc-2016-309815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QUYEN</dc:creator>
  <cp:keywords/>
  <dc:description/>
  <cp:lastModifiedBy>Administrator</cp:lastModifiedBy>
  <cp:revision>28</cp:revision>
  <dcterms:created xsi:type="dcterms:W3CDTF">2025-07-09T03:22:00Z</dcterms:created>
  <dcterms:modified xsi:type="dcterms:W3CDTF">2025-07-11T08:04:00Z</dcterms:modified>
</cp:coreProperties>
</file>