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A9AB2" w14:textId="489BF3F7" w:rsidR="00143348" w:rsidRPr="00C85DCB" w:rsidRDefault="00143348" w:rsidP="00143348">
      <w:pPr>
        <w:spacing w:after="0" w:line="240" w:lineRule="auto"/>
        <w:jc w:val="center"/>
        <w:rPr>
          <w:b/>
          <w:sz w:val="26"/>
          <w:szCs w:val="26"/>
        </w:rPr>
      </w:pPr>
      <w:r w:rsidRPr="00C85DCB">
        <w:rPr>
          <w:b/>
          <w:sz w:val="26"/>
          <w:szCs w:val="26"/>
        </w:rPr>
        <w:t>Phụ lụ</w:t>
      </w:r>
      <w:r w:rsidR="00006EA9">
        <w:rPr>
          <w:b/>
          <w:sz w:val="26"/>
          <w:szCs w:val="26"/>
        </w:rPr>
        <w:t>c</w:t>
      </w:r>
    </w:p>
    <w:p w14:paraId="1E5D72A9" w14:textId="6A902A96" w:rsidR="00143348" w:rsidRPr="00C85DCB" w:rsidRDefault="00143348" w:rsidP="00143348">
      <w:pPr>
        <w:spacing w:after="0" w:line="240" w:lineRule="auto"/>
        <w:ind w:firstLine="709"/>
        <w:jc w:val="center"/>
        <w:rPr>
          <w:b/>
          <w:color w:val="000000"/>
          <w:sz w:val="26"/>
          <w:szCs w:val="26"/>
        </w:rPr>
      </w:pPr>
      <w:r w:rsidRPr="00C85DCB">
        <w:rPr>
          <w:b/>
          <w:sz w:val="26"/>
          <w:szCs w:val="26"/>
        </w:rPr>
        <w:t>DANH MỤC THỦ TỤC HÀNH C</w:t>
      </w:r>
      <w:r w:rsidRPr="00C85DCB">
        <w:rPr>
          <w:b/>
          <w:color w:val="000000"/>
          <w:sz w:val="26"/>
          <w:szCs w:val="26"/>
        </w:rPr>
        <w:t xml:space="preserve">HÍNH </w:t>
      </w:r>
      <w:r w:rsidR="004B77F0">
        <w:rPr>
          <w:b/>
          <w:color w:val="000000"/>
          <w:sz w:val="26"/>
          <w:szCs w:val="26"/>
        </w:rPr>
        <w:t>BỊ BÃI BỎ</w:t>
      </w:r>
      <w:r w:rsidRPr="00C85DCB">
        <w:rPr>
          <w:b/>
          <w:color w:val="000000"/>
          <w:sz w:val="26"/>
          <w:szCs w:val="26"/>
        </w:rPr>
        <w:t xml:space="preserve"> LĨNH VỰC </w:t>
      </w:r>
      <w:r w:rsidR="00B8782F">
        <w:rPr>
          <w:b/>
          <w:color w:val="000000"/>
          <w:sz w:val="26"/>
          <w:szCs w:val="26"/>
        </w:rPr>
        <w:t>Y TẾ DỰ PHÒNG</w:t>
      </w:r>
    </w:p>
    <w:p w14:paraId="020488A0" w14:textId="032F6CA9" w:rsidR="00143348" w:rsidRPr="00C85DCB" w:rsidRDefault="00143348" w:rsidP="00143348">
      <w:pPr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C85DCB">
        <w:rPr>
          <w:b/>
          <w:color w:val="000000"/>
          <w:sz w:val="26"/>
          <w:szCs w:val="26"/>
        </w:rPr>
        <w:t xml:space="preserve">THUỘC THẨM QUYỀN GIẢI QUYẾT CỦA SỞ Y TẾ TỈNH LẠNG SƠN </w:t>
      </w:r>
      <w:r w:rsidR="00CB669F">
        <w:rPr>
          <w:b/>
          <w:color w:val="000000"/>
          <w:sz w:val="26"/>
          <w:szCs w:val="26"/>
        </w:rPr>
        <w:t>(01 TTHC)</w:t>
      </w:r>
    </w:p>
    <w:p w14:paraId="02FA23B1" w14:textId="765678B9" w:rsidR="00143348" w:rsidRDefault="00143348" w:rsidP="00143348">
      <w:pPr>
        <w:spacing w:before="40" w:after="120" w:line="240" w:lineRule="auto"/>
        <w:jc w:val="center"/>
        <w:rPr>
          <w:i/>
          <w:sz w:val="26"/>
          <w:szCs w:val="26"/>
        </w:rPr>
      </w:pPr>
      <w:r w:rsidRPr="00C85DCB">
        <w:rPr>
          <w:i/>
          <w:sz w:val="26"/>
          <w:szCs w:val="26"/>
        </w:rPr>
        <w:t xml:space="preserve">(Kèm theo Quyết định số  </w:t>
      </w:r>
      <w:r w:rsidR="00B8782F">
        <w:rPr>
          <w:i/>
          <w:sz w:val="26"/>
          <w:szCs w:val="26"/>
        </w:rPr>
        <w:t xml:space="preserve">       </w:t>
      </w:r>
      <w:r w:rsidRPr="00C85DCB">
        <w:rPr>
          <w:i/>
          <w:sz w:val="26"/>
          <w:szCs w:val="26"/>
        </w:rPr>
        <w:t xml:space="preserve"> /QĐ-UBND ngày  </w:t>
      </w:r>
      <w:r w:rsidR="00B8782F">
        <w:rPr>
          <w:i/>
          <w:sz w:val="26"/>
          <w:szCs w:val="26"/>
        </w:rPr>
        <w:t xml:space="preserve">  </w:t>
      </w:r>
      <w:r w:rsidR="00CB669F">
        <w:rPr>
          <w:i/>
          <w:sz w:val="26"/>
          <w:szCs w:val="26"/>
        </w:rPr>
        <w:t xml:space="preserve"> </w:t>
      </w:r>
      <w:r w:rsidR="00B8782F">
        <w:rPr>
          <w:i/>
          <w:sz w:val="26"/>
          <w:szCs w:val="26"/>
        </w:rPr>
        <w:t>/5/2025</w:t>
      </w:r>
      <w:r w:rsidRPr="00C85DCB">
        <w:rPr>
          <w:i/>
          <w:sz w:val="26"/>
          <w:szCs w:val="26"/>
        </w:rPr>
        <w:t xml:space="preserve"> của Chủ tịch UBND tỉnh Lạng Sơn)</w:t>
      </w:r>
    </w:p>
    <w:p w14:paraId="6E623A2E" w14:textId="77777777" w:rsidR="0008535F" w:rsidRDefault="0008535F" w:rsidP="00143348">
      <w:pPr>
        <w:spacing w:before="40" w:after="120" w:line="240" w:lineRule="auto"/>
        <w:jc w:val="center"/>
        <w:rPr>
          <w:i/>
          <w:sz w:val="26"/>
          <w:szCs w:val="26"/>
        </w:rPr>
      </w:pPr>
    </w:p>
    <w:tbl>
      <w:tblPr>
        <w:tblStyle w:val="TableGrid"/>
        <w:tblW w:w="1488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402"/>
        <w:gridCol w:w="5244"/>
        <w:gridCol w:w="3686"/>
      </w:tblGrid>
      <w:tr w:rsidR="004B77F0" w:rsidRPr="003D644E" w14:paraId="6F1464F4" w14:textId="77777777" w:rsidTr="0008535F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9A3D" w14:textId="77777777" w:rsidR="004B77F0" w:rsidRPr="003D644E" w:rsidRDefault="004B77F0" w:rsidP="00B20DE6">
            <w:pPr>
              <w:rPr>
                <w:b/>
                <w:szCs w:val="28"/>
              </w:rPr>
            </w:pPr>
            <w:r w:rsidRPr="003D644E">
              <w:rPr>
                <w:b/>
                <w:szCs w:val="28"/>
              </w:rPr>
              <w:t>Số TT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EC54" w14:textId="77777777" w:rsidR="004B77F0" w:rsidRPr="003D644E" w:rsidRDefault="004B77F0" w:rsidP="00B20DE6">
            <w:pPr>
              <w:rPr>
                <w:b/>
                <w:bCs/>
                <w:szCs w:val="28"/>
              </w:rPr>
            </w:pPr>
            <w:r w:rsidRPr="003D644E">
              <w:rPr>
                <w:b/>
                <w:bCs/>
                <w:szCs w:val="28"/>
              </w:rPr>
              <w:t>Số hồ sơ TTHC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2802" w14:textId="77777777" w:rsidR="004B77F0" w:rsidRPr="003D644E" w:rsidRDefault="004B77F0" w:rsidP="00B20DE6">
            <w:pPr>
              <w:rPr>
                <w:b/>
                <w:bCs/>
                <w:szCs w:val="28"/>
              </w:rPr>
            </w:pPr>
            <w:r w:rsidRPr="003D644E">
              <w:rPr>
                <w:b/>
                <w:bCs/>
                <w:szCs w:val="28"/>
              </w:rPr>
              <w:t>Tên TTHC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B83C" w14:textId="77777777" w:rsidR="004B77F0" w:rsidRPr="003D644E" w:rsidRDefault="004B77F0" w:rsidP="00B20DE6">
            <w:pPr>
              <w:rPr>
                <w:b/>
                <w:bCs/>
                <w:szCs w:val="28"/>
              </w:rPr>
            </w:pPr>
            <w:r w:rsidRPr="003D644E">
              <w:rPr>
                <w:b/>
                <w:bCs/>
                <w:szCs w:val="28"/>
              </w:rPr>
              <w:t>Số thứ tự tại quyết định công bố</w:t>
            </w:r>
          </w:p>
          <w:p w14:paraId="0D5B91AB" w14:textId="77777777" w:rsidR="004B77F0" w:rsidRPr="003D644E" w:rsidRDefault="004B77F0" w:rsidP="00B20DE6">
            <w:pPr>
              <w:rPr>
                <w:b/>
                <w:bCs/>
                <w:szCs w:val="28"/>
              </w:rPr>
            </w:pPr>
            <w:r w:rsidRPr="003D644E">
              <w:rPr>
                <w:b/>
                <w:bCs/>
                <w:szCs w:val="28"/>
              </w:rPr>
              <w:t>của Chủ tịch UBND tỉnh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059F" w14:textId="77777777" w:rsidR="004B77F0" w:rsidRPr="003D644E" w:rsidRDefault="004B77F0" w:rsidP="00B20DE6">
            <w:pPr>
              <w:rPr>
                <w:b/>
                <w:bCs/>
                <w:szCs w:val="28"/>
              </w:rPr>
            </w:pPr>
            <w:r w:rsidRPr="003D644E">
              <w:rPr>
                <w:b/>
                <w:bCs/>
                <w:szCs w:val="28"/>
              </w:rPr>
              <w:t>Tên Văn bản QPPL quy định việc bãi bỏ TTHC</w:t>
            </w:r>
          </w:p>
        </w:tc>
      </w:tr>
      <w:tr w:rsidR="00CD3BEE" w:rsidRPr="003D644E" w14:paraId="75DEAE55" w14:textId="77777777" w:rsidTr="0008535F">
        <w:trPr>
          <w:trHeight w:val="3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8D1C" w14:textId="4130AFC6" w:rsidR="00CD3BEE" w:rsidRPr="003D644E" w:rsidRDefault="00B81B86" w:rsidP="00B81B86">
            <w:pPr>
              <w:rPr>
                <w:bCs/>
                <w:szCs w:val="28"/>
              </w:rPr>
            </w:pPr>
            <w:r w:rsidRPr="003D644E">
              <w:rPr>
                <w:bCs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5D37" w14:textId="3DCB1397" w:rsidR="00CD3BEE" w:rsidRPr="003D644E" w:rsidRDefault="00BE13F4" w:rsidP="00B20DE6">
            <w:pPr>
              <w:rPr>
                <w:bCs/>
                <w:szCs w:val="28"/>
              </w:rPr>
            </w:pPr>
            <w:hyperlink r:id="rId7" w:history="1">
              <w:r w:rsidR="00B8782F" w:rsidRPr="003D644E">
                <w:rPr>
                  <w:szCs w:val="28"/>
                </w:rPr>
                <w:t>1.000844</w:t>
              </w:r>
              <w:r w:rsidR="00CD3BEE" w:rsidRPr="003D644E">
                <w:rPr>
                  <w:rStyle w:val="link"/>
                  <w:szCs w:val="28"/>
                  <w:shd w:val="clear" w:color="auto" w:fill="FFFFFF"/>
                </w:rPr>
                <w:t>.000.00.00.H37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CBFE" w14:textId="36DA561B" w:rsidR="00CD3BEE" w:rsidRPr="003D644E" w:rsidRDefault="00B8782F" w:rsidP="00CD3BEE">
            <w:pPr>
              <w:jc w:val="both"/>
              <w:rPr>
                <w:bCs/>
                <w:szCs w:val="28"/>
              </w:rPr>
            </w:pPr>
            <w:r w:rsidRPr="003D644E">
              <w:rPr>
                <w:spacing w:val="-4"/>
                <w:szCs w:val="28"/>
              </w:rPr>
              <w:t>Thông báo hoạt động đối với tổ chức tư vấn về phòng, chống HIV/AIDS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8DEB" w14:textId="214D5AF0" w:rsidR="00CD3BEE" w:rsidRPr="003D644E" w:rsidRDefault="00DF3C76" w:rsidP="00CB669F">
            <w:pPr>
              <w:jc w:val="both"/>
              <w:rPr>
                <w:bCs/>
                <w:szCs w:val="28"/>
              </w:rPr>
            </w:pPr>
            <w:r w:rsidRPr="003D644E">
              <w:rPr>
                <w:bCs/>
                <w:szCs w:val="28"/>
              </w:rPr>
              <w:t>Số thứ tự</w:t>
            </w:r>
            <w:r w:rsidR="00B8782F" w:rsidRPr="003D644E">
              <w:rPr>
                <w:bCs/>
                <w:szCs w:val="28"/>
              </w:rPr>
              <w:t xml:space="preserve"> 13</w:t>
            </w:r>
            <w:r w:rsidR="003A4238">
              <w:rPr>
                <w:bCs/>
                <w:szCs w:val="28"/>
              </w:rPr>
              <w:t xml:space="preserve"> </w:t>
            </w:r>
            <w:r w:rsidR="00264302">
              <w:rPr>
                <w:bCs/>
                <w:szCs w:val="28"/>
              </w:rPr>
              <w:t xml:space="preserve">tiểu </w:t>
            </w:r>
            <w:r w:rsidR="008C347E" w:rsidRPr="003D644E">
              <w:rPr>
                <w:bCs/>
                <w:szCs w:val="28"/>
              </w:rPr>
              <w:t>Mụ</w:t>
            </w:r>
            <w:r w:rsidR="00B8782F" w:rsidRPr="003D644E">
              <w:rPr>
                <w:bCs/>
                <w:szCs w:val="28"/>
              </w:rPr>
              <w:t>c IV Mục A Phụ lục</w:t>
            </w:r>
            <w:r w:rsidR="003A4238">
              <w:rPr>
                <w:bCs/>
                <w:szCs w:val="28"/>
              </w:rPr>
              <w:t xml:space="preserve"> </w:t>
            </w:r>
            <w:r w:rsidR="00B8782F" w:rsidRPr="003D644E">
              <w:rPr>
                <w:bCs/>
                <w:szCs w:val="28"/>
              </w:rPr>
              <w:t>I kèm theo Quyết định số 1325/QĐ-UBND ngày 05/7/2021 của Chủ tịch UBND tỉnh Lạng Sơn</w:t>
            </w:r>
            <w:r w:rsidR="00CB669F">
              <w:rPr>
                <w:bCs/>
                <w:szCs w:val="28"/>
              </w:rPr>
              <w:t xml:space="preserve"> về</w:t>
            </w:r>
            <w:r w:rsidR="003C54A6">
              <w:rPr>
                <w:bCs/>
                <w:szCs w:val="28"/>
              </w:rPr>
              <w:t xml:space="preserve"> việc công bố Danh mục thủ tục hành chính chuẩn hoá và phê duyệt quy trình nội bộ thuộc thẩm quyền giải quyết của Sở Y tế, UBND cấp huyện, UBND cấp xã tỉnh Lạng Sơn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E4B7" w14:textId="3A751673" w:rsidR="008D7AC9" w:rsidRPr="003D644E" w:rsidRDefault="008D7AC9" w:rsidP="008D7AC9">
            <w:pPr>
              <w:jc w:val="both"/>
              <w:rPr>
                <w:bCs/>
                <w:szCs w:val="28"/>
              </w:rPr>
            </w:pPr>
            <w:r w:rsidRPr="003D644E">
              <w:rPr>
                <w:bCs/>
                <w:szCs w:val="28"/>
              </w:rPr>
              <w:t>Thông tư số 10/2025/TT-BYT</w:t>
            </w:r>
          </w:p>
          <w:p w14:paraId="10B11E28" w14:textId="18A9265F" w:rsidR="008D7AC9" w:rsidRPr="003D644E" w:rsidRDefault="008D7AC9" w:rsidP="00CB669F">
            <w:pPr>
              <w:jc w:val="both"/>
              <w:rPr>
                <w:bCs/>
                <w:szCs w:val="28"/>
              </w:rPr>
            </w:pPr>
            <w:r w:rsidRPr="003D644E">
              <w:rPr>
                <w:bCs/>
                <w:szCs w:val="28"/>
              </w:rPr>
              <w:t>ngày 09</w:t>
            </w:r>
            <w:r w:rsidR="00CB669F">
              <w:rPr>
                <w:bCs/>
                <w:szCs w:val="28"/>
              </w:rPr>
              <w:t>/</w:t>
            </w:r>
            <w:r w:rsidRPr="003D644E">
              <w:rPr>
                <w:bCs/>
                <w:szCs w:val="28"/>
              </w:rPr>
              <w:t>5</w:t>
            </w:r>
            <w:r w:rsidR="00CB669F">
              <w:rPr>
                <w:bCs/>
                <w:szCs w:val="28"/>
              </w:rPr>
              <w:t>/</w:t>
            </w:r>
            <w:r w:rsidRPr="003D644E">
              <w:rPr>
                <w:bCs/>
                <w:szCs w:val="28"/>
              </w:rPr>
              <w:t>2025 của</w:t>
            </w:r>
            <w:r w:rsidR="00CB669F">
              <w:rPr>
                <w:bCs/>
                <w:szCs w:val="28"/>
              </w:rPr>
              <w:t xml:space="preserve"> </w:t>
            </w:r>
            <w:r w:rsidRPr="003D644E">
              <w:rPr>
                <w:bCs/>
                <w:szCs w:val="28"/>
              </w:rPr>
              <w:t>Bộ trưởng Bộ Y tế về</w:t>
            </w:r>
            <w:r w:rsidR="00BE13F4">
              <w:rPr>
                <w:bCs/>
                <w:szCs w:val="28"/>
              </w:rPr>
              <w:t xml:space="preserve"> b</w:t>
            </w:r>
            <w:bookmarkStart w:id="0" w:name="_GoBack"/>
            <w:bookmarkEnd w:id="0"/>
            <w:r w:rsidRPr="003D644E">
              <w:rPr>
                <w:bCs/>
                <w:szCs w:val="28"/>
              </w:rPr>
              <w:t>ãi bỏ</w:t>
            </w:r>
            <w:r w:rsidR="003D644E">
              <w:rPr>
                <w:bCs/>
                <w:szCs w:val="28"/>
              </w:rPr>
              <w:t xml:space="preserve"> </w:t>
            </w:r>
            <w:r w:rsidRPr="003D644E">
              <w:rPr>
                <w:bCs/>
                <w:szCs w:val="28"/>
              </w:rPr>
              <w:t>toàn bộ hoặc một phần các văn</w:t>
            </w:r>
            <w:r w:rsidR="003D644E">
              <w:rPr>
                <w:bCs/>
                <w:szCs w:val="28"/>
              </w:rPr>
              <w:t xml:space="preserve"> </w:t>
            </w:r>
            <w:r w:rsidRPr="003D644E">
              <w:rPr>
                <w:bCs/>
                <w:szCs w:val="28"/>
              </w:rPr>
              <w:t>bản quy phạm pháp luật do Bộ</w:t>
            </w:r>
            <w:r w:rsidR="003D644E">
              <w:rPr>
                <w:bCs/>
                <w:szCs w:val="28"/>
              </w:rPr>
              <w:t xml:space="preserve"> </w:t>
            </w:r>
            <w:r w:rsidRPr="003D644E">
              <w:rPr>
                <w:bCs/>
                <w:szCs w:val="28"/>
              </w:rPr>
              <w:t>trưởng Bộ Y tế ban hành, liên</w:t>
            </w:r>
            <w:r w:rsidR="003D644E">
              <w:rPr>
                <w:bCs/>
                <w:szCs w:val="28"/>
              </w:rPr>
              <w:t xml:space="preserve"> </w:t>
            </w:r>
            <w:r w:rsidRPr="003D644E">
              <w:rPr>
                <w:bCs/>
                <w:szCs w:val="28"/>
              </w:rPr>
              <w:t>tịch ban hành về phòng, chống</w:t>
            </w:r>
            <w:r w:rsidR="00CB669F">
              <w:rPr>
                <w:bCs/>
                <w:szCs w:val="28"/>
              </w:rPr>
              <w:t xml:space="preserve"> </w:t>
            </w:r>
            <w:r w:rsidRPr="003D644E">
              <w:rPr>
                <w:bCs/>
                <w:szCs w:val="28"/>
              </w:rPr>
              <w:t>HIV/AIDS</w:t>
            </w:r>
          </w:p>
        </w:tc>
      </w:tr>
    </w:tbl>
    <w:p w14:paraId="1131A7A2" w14:textId="3DD1F736" w:rsidR="004B77F0" w:rsidRDefault="005A2FD6">
      <w:r>
        <w:t xml:space="preserve">                                                                                    ____________________________</w:t>
      </w:r>
    </w:p>
    <w:sectPr w:rsidR="004B77F0" w:rsidSect="00DE2803">
      <w:pgSz w:w="16840" w:h="11907" w:orient="landscape" w:code="9"/>
      <w:pgMar w:top="1021" w:right="1134" w:bottom="85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F5A09"/>
    <w:multiLevelType w:val="hybridMultilevel"/>
    <w:tmpl w:val="10D63062"/>
    <w:lvl w:ilvl="0" w:tplc="2D429524">
      <w:start w:val="1"/>
      <w:numFmt w:val="decimal"/>
      <w:lvlText w:val="%1"/>
      <w:lvlJc w:val="center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20980"/>
    <w:multiLevelType w:val="hybridMultilevel"/>
    <w:tmpl w:val="5538A2D6"/>
    <w:lvl w:ilvl="0" w:tplc="8D7C3E9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48"/>
    <w:rsid w:val="00006EA9"/>
    <w:rsid w:val="000223A6"/>
    <w:rsid w:val="00031A1D"/>
    <w:rsid w:val="0005044D"/>
    <w:rsid w:val="00084F51"/>
    <w:rsid w:val="0008535F"/>
    <w:rsid w:val="0009754A"/>
    <w:rsid w:val="000A550E"/>
    <w:rsid w:val="000B5114"/>
    <w:rsid w:val="000B75C4"/>
    <w:rsid w:val="000E6A6C"/>
    <w:rsid w:val="00124AD4"/>
    <w:rsid w:val="00141FCC"/>
    <w:rsid w:val="00143348"/>
    <w:rsid w:val="00144217"/>
    <w:rsid w:val="00156D91"/>
    <w:rsid w:val="001740C6"/>
    <w:rsid w:val="001856BF"/>
    <w:rsid w:val="001C1CC3"/>
    <w:rsid w:val="00220C6F"/>
    <w:rsid w:val="0022553E"/>
    <w:rsid w:val="00242F98"/>
    <w:rsid w:val="00264302"/>
    <w:rsid w:val="002765DA"/>
    <w:rsid w:val="002856D6"/>
    <w:rsid w:val="002A06DC"/>
    <w:rsid w:val="00314EB4"/>
    <w:rsid w:val="00345277"/>
    <w:rsid w:val="00361210"/>
    <w:rsid w:val="0039227D"/>
    <w:rsid w:val="003A4238"/>
    <w:rsid w:val="003C54A6"/>
    <w:rsid w:val="003C7A43"/>
    <w:rsid w:val="003D644E"/>
    <w:rsid w:val="003F5494"/>
    <w:rsid w:val="0040312F"/>
    <w:rsid w:val="00465E00"/>
    <w:rsid w:val="004A1211"/>
    <w:rsid w:val="004B77F0"/>
    <w:rsid w:val="004E28FA"/>
    <w:rsid w:val="00510CE1"/>
    <w:rsid w:val="00535164"/>
    <w:rsid w:val="00535B16"/>
    <w:rsid w:val="0053636E"/>
    <w:rsid w:val="00554483"/>
    <w:rsid w:val="005555B9"/>
    <w:rsid w:val="00555CD1"/>
    <w:rsid w:val="005573A1"/>
    <w:rsid w:val="00562166"/>
    <w:rsid w:val="00571EDC"/>
    <w:rsid w:val="005A2FD6"/>
    <w:rsid w:val="005C7F57"/>
    <w:rsid w:val="006369F1"/>
    <w:rsid w:val="0065406F"/>
    <w:rsid w:val="006746F4"/>
    <w:rsid w:val="006A2155"/>
    <w:rsid w:val="00700004"/>
    <w:rsid w:val="007118B3"/>
    <w:rsid w:val="00732268"/>
    <w:rsid w:val="00741B5F"/>
    <w:rsid w:val="00742264"/>
    <w:rsid w:val="00764035"/>
    <w:rsid w:val="00764D54"/>
    <w:rsid w:val="007672A6"/>
    <w:rsid w:val="00790F97"/>
    <w:rsid w:val="007926E5"/>
    <w:rsid w:val="007C62CA"/>
    <w:rsid w:val="007D73A7"/>
    <w:rsid w:val="007F6CB0"/>
    <w:rsid w:val="00800BC0"/>
    <w:rsid w:val="008147AA"/>
    <w:rsid w:val="0081488B"/>
    <w:rsid w:val="0083425D"/>
    <w:rsid w:val="00847BF7"/>
    <w:rsid w:val="008722AB"/>
    <w:rsid w:val="008C347E"/>
    <w:rsid w:val="008C6414"/>
    <w:rsid w:val="008D5272"/>
    <w:rsid w:val="008D7057"/>
    <w:rsid w:val="008D7AC9"/>
    <w:rsid w:val="0091312A"/>
    <w:rsid w:val="009363A5"/>
    <w:rsid w:val="00942B1A"/>
    <w:rsid w:val="00956029"/>
    <w:rsid w:val="00972827"/>
    <w:rsid w:val="009B5F9F"/>
    <w:rsid w:val="009D0362"/>
    <w:rsid w:val="009E0945"/>
    <w:rsid w:val="009E1792"/>
    <w:rsid w:val="009E360D"/>
    <w:rsid w:val="009E777B"/>
    <w:rsid w:val="00A01470"/>
    <w:rsid w:val="00A05A56"/>
    <w:rsid w:val="00A3589B"/>
    <w:rsid w:val="00A5426F"/>
    <w:rsid w:val="00A72B42"/>
    <w:rsid w:val="00A7780F"/>
    <w:rsid w:val="00A87346"/>
    <w:rsid w:val="00A95A3E"/>
    <w:rsid w:val="00AA01A9"/>
    <w:rsid w:val="00B22FBD"/>
    <w:rsid w:val="00B81B86"/>
    <w:rsid w:val="00B82E44"/>
    <w:rsid w:val="00B8782F"/>
    <w:rsid w:val="00B939E9"/>
    <w:rsid w:val="00BA5094"/>
    <w:rsid w:val="00BD5A3C"/>
    <w:rsid w:val="00BE13F4"/>
    <w:rsid w:val="00C33D48"/>
    <w:rsid w:val="00C63554"/>
    <w:rsid w:val="00C65E43"/>
    <w:rsid w:val="00C85DCB"/>
    <w:rsid w:val="00CA09F3"/>
    <w:rsid w:val="00CB669F"/>
    <w:rsid w:val="00CC3992"/>
    <w:rsid w:val="00CD3BEE"/>
    <w:rsid w:val="00CD64E2"/>
    <w:rsid w:val="00CF1910"/>
    <w:rsid w:val="00CF4FE5"/>
    <w:rsid w:val="00D3430C"/>
    <w:rsid w:val="00D56445"/>
    <w:rsid w:val="00D56CD8"/>
    <w:rsid w:val="00D61695"/>
    <w:rsid w:val="00D62947"/>
    <w:rsid w:val="00D64BB0"/>
    <w:rsid w:val="00D829B7"/>
    <w:rsid w:val="00D87D75"/>
    <w:rsid w:val="00DC5986"/>
    <w:rsid w:val="00DD03D5"/>
    <w:rsid w:val="00DE2803"/>
    <w:rsid w:val="00DF3C76"/>
    <w:rsid w:val="00DF50BB"/>
    <w:rsid w:val="00E04076"/>
    <w:rsid w:val="00E27237"/>
    <w:rsid w:val="00E27706"/>
    <w:rsid w:val="00E34D20"/>
    <w:rsid w:val="00E517C5"/>
    <w:rsid w:val="00E57C96"/>
    <w:rsid w:val="00E62954"/>
    <w:rsid w:val="00E7550E"/>
    <w:rsid w:val="00E974AA"/>
    <w:rsid w:val="00EA5339"/>
    <w:rsid w:val="00EB3F90"/>
    <w:rsid w:val="00EC10DB"/>
    <w:rsid w:val="00ED1115"/>
    <w:rsid w:val="00ED3AF5"/>
    <w:rsid w:val="00F25502"/>
    <w:rsid w:val="00F27A0E"/>
    <w:rsid w:val="00F30CBB"/>
    <w:rsid w:val="00F42D80"/>
    <w:rsid w:val="00F53EB1"/>
    <w:rsid w:val="00F70075"/>
    <w:rsid w:val="00FB68DB"/>
    <w:rsid w:val="00F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236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A5426F"/>
    <w:pPr>
      <w:keepNext/>
      <w:spacing w:before="240" w:after="60" w:line="240" w:lineRule="auto"/>
      <w:outlineLvl w:val="3"/>
    </w:pPr>
    <w:rPr>
      <w:rFonts w:eastAsia="Times New Roman" w:cs="Times New Roman"/>
      <w:b/>
      <w:bCs/>
      <w:kern w:val="0"/>
      <w:szCs w:val="28"/>
      <w:lang w:eastAsia="x-non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43348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kern w:val="0"/>
      <w:sz w:val="24"/>
      <w:szCs w:val="24"/>
      <w14:ligatures w14:val="none"/>
    </w:rPr>
  </w:style>
  <w:style w:type="character" w:styleId="Hyperlink">
    <w:name w:val="Hyperlink"/>
    <w:rsid w:val="00143348"/>
    <w:rPr>
      <w:color w:val="0000FF"/>
      <w:u w:val="single"/>
    </w:rPr>
  </w:style>
  <w:style w:type="character" w:customStyle="1" w:styleId="link">
    <w:name w:val="link"/>
    <w:basedOn w:val="DefaultParagraphFont"/>
    <w:rsid w:val="0040312F"/>
  </w:style>
  <w:style w:type="character" w:customStyle="1" w:styleId="Heading4Char">
    <w:name w:val="Heading 4 Char"/>
    <w:basedOn w:val="DefaultParagraphFont"/>
    <w:link w:val="Heading4"/>
    <w:rsid w:val="00A5426F"/>
    <w:rPr>
      <w:rFonts w:eastAsia="Times New Roman" w:cs="Times New Roman"/>
      <w:b/>
      <w:bCs/>
      <w:kern w:val="0"/>
      <w:szCs w:val="28"/>
      <w:lang w:eastAsia="x-none"/>
      <w14:ligatures w14:val="none"/>
    </w:rPr>
  </w:style>
  <w:style w:type="paragraph" w:customStyle="1" w:styleId="nqtitle">
    <w:name w:val="nqtitle"/>
    <w:basedOn w:val="Normal"/>
    <w:rsid w:val="00942B1A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D87D75"/>
    <w:pPr>
      <w:ind w:left="720"/>
      <w:contextualSpacing/>
    </w:pPr>
  </w:style>
  <w:style w:type="table" w:styleId="TableGrid">
    <w:name w:val="Table Grid"/>
    <w:basedOn w:val="TableNormal"/>
    <w:uiPriority w:val="59"/>
    <w:rsid w:val="004B77F0"/>
    <w:pPr>
      <w:spacing w:after="0" w:line="240" w:lineRule="auto"/>
      <w:jc w:val="center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A5426F"/>
    <w:pPr>
      <w:keepNext/>
      <w:spacing w:before="240" w:after="60" w:line="240" w:lineRule="auto"/>
      <w:outlineLvl w:val="3"/>
    </w:pPr>
    <w:rPr>
      <w:rFonts w:eastAsia="Times New Roman" w:cs="Times New Roman"/>
      <w:b/>
      <w:bCs/>
      <w:kern w:val="0"/>
      <w:szCs w:val="28"/>
      <w:lang w:eastAsia="x-non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43348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kern w:val="0"/>
      <w:sz w:val="24"/>
      <w:szCs w:val="24"/>
      <w14:ligatures w14:val="none"/>
    </w:rPr>
  </w:style>
  <w:style w:type="character" w:styleId="Hyperlink">
    <w:name w:val="Hyperlink"/>
    <w:rsid w:val="00143348"/>
    <w:rPr>
      <w:color w:val="0000FF"/>
      <w:u w:val="single"/>
    </w:rPr>
  </w:style>
  <w:style w:type="character" w:customStyle="1" w:styleId="link">
    <w:name w:val="link"/>
    <w:basedOn w:val="DefaultParagraphFont"/>
    <w:rsid w:val="0040312F"/>
  </w:style>
  <w:style w:type="character" w:customStyle="1" w:styleId="Heading4Char">
    <w:name w:val="Heading 4 Char"/>
    <w:basedOn w:val="DefaultParagraphFont"/>
    <w:link w:val="Heading4"/>
    <w:rsid w:val="00A5426F"/>
    <w:rPr>
      <w:rFonts w:eastAsia="Times New Roman" w:cs="Times New Roman"/>
      <w:b/>
      <w:bCs/>
      <w:kern w:val="0"/>
      <w:szCs w:val="28"/>
      <w:lang w:eastAsia="x-none"/>
      <w14:ligatures w14:val="none"/>
    </w:rPr>
  </w:style>
  <w:style w:type="paragraph" w:customStyle="1" w:styleId="nqtitle">
    <w:name w:val="nqtitle"/>
    <w:basedOn w:val="Normal"/>
    <w:rsid w:val="00942B1A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D87D75"/>
    <w:pPr>
      <w:ind w:left="720"/>
      <w:contextualSpacing/>
    </w:pPr>
  </w:style>
  <w:style w:type="table" w:styleId="TableGrid">
    <w:name w:val="Table Grid"/>
    <w:basedOn w:val="TableNormal"/>
    <w:uiPriority w:val="59"/>
    <w:rsid w:val="004B77F0"/>
    <w:pPr>
      <w:spacing w:after="0" w:line="240" w:lineRule="auto"/>
      <w:jc w:val="center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dichvucong.gov.vn/p/home/dvc-tthc-thu-tuc-hanh-chinh-chi-tiet.html?ma_thu_tuc=2065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AB0BC-8B4D-49B7-9E3A-3E0830422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QUYEN</dc:creator>
  <cp:lastModifiedBy>Administrator</cp:lastModifiedBy>
  <cp:revision>7</cp:revision>
  <cp:lastPrinted>2024-10-09T03:15:00Z</cp:lastPrinted>
  <dcterms:created xsi:type="dcterms:W3CDTF">2025-05-15T09:15:00Z</dcterms:created>
  <dcterms:modified xsi:type="dcterms:W3CDTF">2025-05-16T10:30:00Z</dcterms:modified>
</cp:coreProperties>
</file>