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50" w:type="dxa"/>
        <w:tblLook w:val="01E0" w:firstRow="1" w:lastRow="1" w:firstColumn="1" w:lastColumn="1" w:noHBand="0" w:noVBand="0"/>
      </w:tblPr>
      <w:tblGrid>
        <w:gridCol w:w="4361"/>
        <w:gridCol w:w="3118"/>
        <w:gridCol w:w="7371"/>
      </w:tblGrid>
      <w:tr w:rsidR="002909FD" w:rsidRPr="005E5EE3" w14:paraId="606CE16B" w14:textId="77777777" w:rsidTr="00EF75A5">
        <w:trPr>
          <w:trHeight w:val="1200"/>
        </w:trPr>
        <w:tc>
          <w:tcPr>
            <w:tcW w:w="4361" w:type="dxa"/>
          </w:tcPr>
          <w:p w14:paraId="4FE840EE" w14:textId="40F38B50" w:rsidR="002909FD" w:rsidRPr="005E5EE3" w:rsidRDefault="00563E94" w:rsidP="00EF75A5">
            <w:pPr>
              <w:spacing w:after="0" w:line="240" w:lineRule="auto"/>
              <w:jc w:val="center"/>
              <w:rPr>
                <w:rFonts w:eastAsia="Times New Roman" w:cs="Times New Roman"/>
                <w:sz w:val="26"/>
                <w:szCs w:val="26"/>
              </w:rPr>
            </w:pPr>
            <w:r>
              <w:rPr>
                <w:rFonts w:eastAsia="Times New Roman" w:cs="Times New Roman"/>
                <w:sz w:val="26"/>
                <w:szCs w:val="26"/>
              </w:rPr>
              <w:t>UBND TỈNH LẠNG SƠN</w:t>
            </w:r>
          </w:p>
          <w:p w14:paraId="1C0FD2B0" w14:textId="77777777" w:rsidR="002909FD" w:rsidRPr="005E5EE3" w:rsidRDefault="002909FD" w:rsidP="00EF75A5">
            <w:pPr>
              <w:spacing w:after="0" w:line="240" w:lineRule="auto"/>
              <w:jc w:val="center"/>
              <w:rPr>
                <w:rFonts w:eastAsia="Times New Roman" w:cs="Times New Roman"/>
                <w:b/>
                <w:sz w:val="26"/>
                <w:szCs w:val="26"/>
              </w:rPr>
            </w:pPr>
            <w:r w:rsidRPr="005E5EE3">
              <w:rPr>
                <w:rFonts w:eastAsia="Times New Roman" w:cs="Times New Roman"/>
                <w:b/>
                <w:sz w:val="26"/>
                <w:szCs w:val="26"/>
              </w:rPr>
              <w:t>SỞ TÀI CHÍNH</w:t>
            </w:r>
          </w:p>
          <w:p w14:paraId="261276D1" w14:textId="77777777" w:rsidR="002909FD" w:rsidRPr="005E5EE3" w:rsidRDefault="002909FD" w:rsidP="00EF75A5">
            <w:pPr>
              <w:spacing w:before="240" w:after="0" w:line="240" w:lineRule="auto"/>
              <w:jc w:val="center"/>
              <w:rPr>
                <w:rFonts w:eastAsia="Times New Roman" w:cs="Times New Roman"/>
                <w:sz w:val="26"/>
                <w:szCs w:val="26"/>
              </w:rPr>
            </w:pPr>
            <w:r>
              <w:rPr>
                <w:rFonts w:eastAsia="Times New Roman" w:cs="Times New Roman"/>
                <w:b/>
                <w:noProof/>
                <w:sz w:val="26"/>
                <w:szCs w:val="26"/>
              </w:rPr>
              <mc:AlternateContent>
                <mc:Choice Requires="wps">
                  <w:drawing>
                    <wp:anchor distT="4294967294" distB="4294967294" distL="114300" distR="114300" simplePos="0" relativeHeight="251658240" behindDoc="0" locked="0" layoutInCell="1" allowOverlap="1" wp14:anchorId="7639E479" wp14:editId="25FEE813">
                      <wp:simplePos x="0" y="0"/>
                      <wp:positionH relativeFrom="column">
                        <wp:posOffset>899795</wp:posOffset>
                      </wp:positionH>
                      <wp:positionV relativeFrom="paragraph">
                        <wp:posOffset>17779</wp:posOffset>
                      </wp:positionV>
                      <wp:extent cx="753745"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5A212D"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85pt,1.4pt" to="130.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"/>
                  </w:pict>
                </mc:Fallback>
              </mc:AlternateContent>
            </w:r>
          </w:p>
        </w:tc>
        <w:tc>
          <w:tcPr>
            <w:tcW w:w="3118" w:type="dxa"/>
          </w:tcPr>
          <w:p w14:paraId="2D64F157" w14:textId="77777777" w:rsidR="002909FD" w:rsidRPr="005E5EE3" w:rsidRDefault="002909FD" w:rsidP="00EF75A5">
            <w:pPr>
              <w:spacing w:after="0" w:line="240" w:lineRule="auto"/>
              <w:jc w:val="center"/>
              <w:rPr>
                <w:rFonts w:eastAsia="Times New Roman" w:cs="Times New Roman"/>
                <w:b/>
                <w:sz w:val="26"/>
                <w:szCs w:val="26"/>
              </w:rPr>
            </w:pPr>
          </w:p>
        </w:tc>
        <w:tc>
          <w:tcPr>
            <w:tcW w:w="7371" w:type="dxa"/>
          </w:tcPr>
          <w:p w14:paraId="148B600A" w14:textId="77777777" w:rsidR="002909FD" w:rsidRPr="005E5EE3" w:rsidRDefault="002909FD" w:rsidP="00EF75A5">
            <w:pPr>
              <w:spacing w:after="0" w:line="240" w:lineRule="auto"/>
              <w:jc w:val="center"/>
              <w:rPr>
                <w:rFonts w:eastAsia="Times New Roman" w:cs="Times New Roman"/>
                <w:b/>
                <w:sz w:val="26"/>
                <w:szCs w:val="26"/>
              </w:rPr>
            </w:pPr>
            <w:r w:rsidRPr="005E5EE3">
              <w:rPr>
                <w:rFonts w:eastAsia="Times New Roman" w:cs="Times New Roman"/>
                <w:b/>
                <w:sz w:val="26"/>
                <w:szCs w:val="26"/>
              </w:rPr>
              <w:t>CỘNG HÒA XÃ HỘI CHỦ NGHĨA VIỆT NAM</w:t>
            </w:r>
          </w:p>
          <w:p w14:paraId="41F01369" w14:textId="77777777" w:rsidR="002909FD" w:rsidRPr="005E5EE3" w:rsidRDefault="002909FD" w:rsidP="00EF75A5">
            <w:pPr>
              <w:spacing w:after="0" w:line="240" w:lineRule="auto"/>
              <w:jc w:val="center"/>
              <w:rPr>
                <w:rFonts w:eastAsia="Times New Roman" w:cs="Times New Roman"/>
                <w:b/>
                <w:szCs w:val="28"/>
              </w:rPr>
            </w:pPr>
            <w:r w:rsidRPr="005E5EE3">
              <w:rPr>
                <w:rFonts w:eastAsia="Times New Roman" w:cs="Times New Roman"/>
                <w:b/>
                <w:szCs w:val="28"/>
              </w:rPr>
              <w:t>Độc lập - Tự do - Hạnh phúc</w:t>
            </w:r>
          </w:p>
          <w:p w14:paraId="32256A54" w14:textId="3106E50E" w:rsidR="002909FD" w:rsidRPr="005E5EE3" w:rsidRDefault="002909FD" w:rsidP="00563E94">
            <w:pPr>
              <w:spacing w:before="240" w:after="0" w:line="240" w:lineRule="auto"/>
              <w:jc w:val="center"/>
              <w:rPr>
                <w:rFonts w:eastAsia="Times New Roman" w:cs="Times New Roman"/>
                <w:b/>
                <w:szCs w:val="28"/>
              </w:rPr>
            </w:pPr>
            <w:r>
              <w:rPr>
                <w:rFonts w:eastAsia="Times New Roman" w:cs="Times New Roman"/>
                <w:b/>
                <w:noProof/>
                <w:sz w:val="26"/>
                <w:szCs w:val="28"/>
              </w:rPr>
              <mc:AlternateContent>
                <mc:Choice Requires="wps">
                  <w:drawing>
                    <wp:anchor distT="4294967294" distB="4294967294" distL="114300" distR="114300" simplePos="0" relativeHeight="251657216" behindDoc="0" locked="0" layoutInCell="1" allowOverlap="1" wp14:anchorId="3F19ECF4" wp14:editId="60A4347D">
                      <wp:simplePos x="0" y="0"/>
                      <wp:positionH relativeFrom="column">
                        <wp:posOffset>1176020</wp:posOffset>
                      </wp:positionH>
                      <wp:positionV relativeFrom="paragraph">
                        <wp:posOffset>10794</wp:posOffset>
                      </wp:positionV>
                      <wp:extent cx="217995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CF04B3"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2.6pt,.85pt" to="264.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"/>
                  </w:pict>
                </mc:Fallback>
              </mc:AlternateContent>
            </w:r>
            <w:r w:rsidR="00563E94">
              <w:rPr>
                <w:rFonts w:eastAsia="Times New Roman" w:cs="Times New Roman"/>
                <w:i/>
                <w:sz w:val="26"/>
                <w:szCs w:val="28"/>
              </w:rPr>
              <w:t>Lạng Sơn</w:t>
            </w:r>
            <w:r w:rsidRPr="005E5EE3">
              <w:rPr>
                <w:rFonts w:eastAsia="Times New Roman" w:cs="Times New Roman"/>
                <w:i/>
                <w:sz w:val="26"/>
                <w:szCs w:val="28"/>
                <w:lang w:val="vi-VN"/>
              </w:rPr>
              <w:t xml:space="preserve">, ngày  </w:t>
            </w:r>
            <w:r w:rsidR="00563E94">
              <w:rPr>
                <w:rFonts w:eastAsia="Times New Roman" w:cs="Times New Roman"/>
                <w:i/>
                <w:sz w:val="26"/>
                <w:szCs w:val="28"/>
              </w:rPr>
              <w:t xml:space="preserve">    </w:t>
            </w:r>
            <w:r w:rsidRPr="005E5EE3">
              <w:rPr>
                <w:rFonts w:eastAsia="Times New Roman" w:cs="Times New Roman"/>
                <w:i/>
                <w:sz w:val="26"/>
                <w:szCs w:val="28"/>
              </w:rPr>
              <w:t xml:space="preserve"> </w:t>
            </w:r>
            <w:r w:rsidRPr="005E5EE3">
              <w:rPr>
                <w:rFonts w:eastAsia="Times New Roman" w:cs="Times New Roman"/>
                <w:i/>
                <w:sz w:val="26"/>
                <w:szCs w:val="28"/>
                <w:lang w:val="vi-VN"/>
              </w:rPr>
              <w:t xml:space="preserve"> tháng </w:t>
            </w:r>
            <w:r w:rsidR="00563E94">
              <w:rPr>
                <w:rFonts w:eastAsia="Times New Roman" w:cs="Times New Roman"/>
                <w:i/>
                <w:sz w:val="26"/>
                <w:szCs w:val="28"/>
              </w:rPr>
              <w:t xml:space="preserve">     </w:t>
            </w:r>
            <w:r w:rsidRPr="005E5EE3">
              <w:rPr>
                <w:rFonts w:eastAsia="Times New Roman" w:cs="Times New Roman"/>
                <w:i/>
                <w:sz w:val="26"/>
                <w:szCs w:val="28"/>
                <w:lang w:val="vi-VN"/>
              </w:rPr>
              <w:t xml:space="preserve"> năm 202</w:t>
            </w:r>
            <w:r w:rsidR="00563E94">
              <w:rPr>
                <w:rFonts w:eastAsia="Times New Roman" w:cs="Times New Roman"/>
                <w:i/>
                <w:sz w:val="26"/>
                <w:szCs w:val="28"/>
              </w:rPr>
              <w:t>6</w:t>
            </w:r>
          </w:p>
        </w:tc>
      </w:tr>
    </w:tbl>
    <w:p w14:paraId="39078A09" w14:textId="4AA063B6" w:rsidR="007069DC" w:rsidRDefault="002909FD" w:rsidP="00563E94">
      <w:pPr>
        <w:spacing w:before="600" w:after="0"/>
        <w:jc w:val="center"/>
        <w:rPr>
          <w:b/>
          <w:bCs/>
        </w:rPr>
      </w:pPr>
      <w:r w:rsidRPr="002909FD">
        <w:rPr>
          <w:b/>
          <w:bCs/>
        </w:rPr>
        <w:t>BẢN</w:t>
      </w:r>
      <w:r w:rsidR="00893E2F">
        <w:rPr>
          <w:b/>
          <w:bCs/>
        </w:rPr>
        <w:t>G</w:t>
      </w:r>
      <w:r w:rsidRPr="002909FD">
        <w:rPr>
          <w:b/>
          <w:bCs/>
        </w:rPr>
        <w:t xml:space="preserve"> THUYẾT MINH DỰ THẢO NGHỊ QUYẾT QUY ĐỊNH </w:t>
      </w:r>
      <w:r w:rsidR="00563E94">
        <w:rPr>
          <w:b/>
          <w:bCs/>
        </w:rPr>
        <w:t>VỀ MỨC CHO VAY, THỜI HẠN CHO VAY, LÃI SUẤT CHO VAY</w:t>
      </w:r>
      <w:r w:rsidR="004E06F1">
        <w:rPr>
          <w:b/>
          <w:bCs/>
        </w:rPr>
        <w:t>, CƠ CHẾ XỬ LÝ NỢ ĐỐI VỚI CÁC KHOẢN NỢ BỊ RỦI RO TỪ NGUỒN NGÂN SÁCH</w:t>
      </w:r>
      <w:r w:rsidR="00563E94">
        <w:rPr>
          <w:b/>
          <w:bCs/>
        </w:rPr>
        <w:t xml:space="preserve"> ĐỊA PHƯƠNG UỶ THÁC QUA </w:t>
      </w:r>
      <w:r w:rsidR="002C62AC">
        <w:rPr>
          <w:b/>
          <w:bCs/>
        </w:rPr>
        <w:t xml:space="preserve">CHI NHÁNH </w:t>
      </w:r>
      <w:r w:rsidR="00563E94">
        <w:rPr>
          <w:b/>
          <w:bCs/>
        </w:rPr>
        <w:t>NGÂN HÀNG CHÍNH SÁCH XÃ HỘI TRÊN ĐỊA BÀN TỈNH LẠNG SƠN</w:t>
      </w:r>
    </w:p>
    <w:p w14:paraId="7147418D" w14:textId="77777777" w:rsidR="00563C54" w:rsidRDefault="00563C54" w:rsidP="002909FD">
      <w:pPr>
        <w:jc w:val="center"/>
        <w:rPr>
          <w:b/>
          <w:bCs/>
        </w:rPr>
      </w:pPr>
    </w:p>
    <w:tbl>
      <w:tblPr>
        <w:tblStyle w:val="TableGrid"/>
        <w:tblW w:w="0" w:type="auto"/>
        <w:tblLook w:val="04A0" w:firstRow="1" w:lastRow="0" w:firstColumn="1" w:lastColumn="0" w:noHBand="0" w:noVBand="1"/>
      </w:tblPr>
      <w:tblGrid>
        <w:gridCol w:w="7281"/>
        <w:gridCol w:w="7281"/>
      </w:tblGrid>
      <w:tr w:rsidR="00CB5AE7" w:rsidRPr="00E64DEF" w14:paraId="6058E018" w14:textId="77777777" w:rsidTr="00563C54">
        <w:tc>
          <w:tcPr>
            <w:tcW w:w="7281" w:type="dxa"/>
            <w:vAlign w:val="center"/>
          </w:tcPr>
          <w:p w14:paraId="55AAA699" w14:textId="77777777" w:rsidR="00CB5AE7" w:rsidRPr="00E64DEF" w:rsidRDefault="00CB5AE7" w:rsidP="00CB5AE7">
            <w:pPr>
              <w:pStyle w:val="NormalWeb"/>
              <w:spacing w:before="120" w:beforeAutospacing="0" w:after="120" w:afterAutospacing="0" w:line="234" w:lineRule="atLeast"/>
              <w:jc w:val="center"/>
              <w:rPr>
                <w:color w:val="000000"/>
                <w:sz w:val="28"/>
                <w:szCs w:val="28"/>
              </w:rPr>
            </w:pPr>
            <w:r w:rsidRPr="00E64DEF">
              <w:rPr>
                <w:b/>
                <w:bCs/>
                <w:color w:val="000000"/>
                <w:sz w:val="28"/>
                <w:szCs w:val="28"/>
                <w:lang w:val="en"/>
              </w:rPr>
              <w:t>D</w:t>
            </w:r>
            <w:r w:rsidRPr="00E64DEF">
              <w:rPr>
                <w:b/>
                <w:bCs/>
                <w:color w:val="000000"/>
                <w:sz w:val="28"/>
                <w:szCs w:val="28"/>
                <w:lang w:val="vi-VN"/>
              </w:rPr>
              <w:t>Ự THẢO VĂN BẢN</w:t>
            </w:r>
          </w:p>
        </w:tc>
        <w:tc>
          <w:tcPr>
            <w:tcW w:w="7281" w:type="dxa"/>
            <w:vAlign w:val="center"/>
          </w:tcPr>
          <w:p w14:paraId="0EC61679" w14:textId="77777777" w:rsidR="00CB5AE7" w:rsidRPr="00E64DEF" w:rsidRDefault="00CB5AE7" w:rsidP="00CB5AE7">
            <w:pPr>
              <w:pStyle w:val="NormalWeb"/>
              <w:spacing w:before="120" w:beforeAutospacing="0" w:after="120" w:afterAutospacing="0" w:line="234" w:lineRule="atLeast"/>
              <w:jc w:val="center"/>
              <w:rPr>
                <w:color w:val="000000"/>
                <w:sz w:val="28"/>
                <w:szCs w:val="28"/>
              </w:rPr>
            </w:pPr>
            <w:r w:rsidRPr="00E64DEF">
              <w:rPr>
                <w:b/>
                <w:bCs/>
                <w:color w:val="000000"/>
                <w:sz w:val="28"/>
                <w:szCs w:val="28"/>
                <w:lang w:val="en"/>
              </w:rPr>
              <w:t>THUY</w:t>
            </w:r>
            <w:r w:rsidRPr="00E64DEF">
              <w:rPr>
                <w:b/>
                <w:bCs/>
                <w:color w:val="000000"/>
                <w:sz w:val="28"/>
                <w:szCs w:val="28"/>
                <w:lang w:val="vi-VN"/>
              </w:rPr>
              <w:t>ẾT MINH</w:t>
            </w:r>
          </w:p>
        </w:tc>
      </w:tr>
      <w:tr w:rsidR="00CB5AE7" w:rsidRPr="00E64DEF" w14:paraId="6E8162D3" w14:textId="77777777" w:rsidTr="00563C54">
        <w:tc>
          <w:tcPr>
            <w:tcW w:w="7281" w:type="dxa"/>
            <w:vAlign w:val="center"/>
          </w:tcPr>
          <w:p w14:paraId="0AEEB87E" w14:textId="77777777" w:rsidR="00B5440C" w:rsidRPr="00B5440C" w:rsidRDefault="00B5440C" w:rsidP="00B5440C">
            <w:pPr>
              <w:pStyle w:val="NormalWeb"/>
              <w:spacing w:before="120" w:after="120"/>
              <w:ind w:firstLine="731"/>
              <w:jc w:val="both"/>
              <w:rPr>
                <w:b/>
                <w:bCs/>
                <w:color w:val="000000"/>
                <w:sz w:val="28"/>
                <w:szCs w:val="28"/>
                <w:lang w:val="en"/>
              </w:rPr>
            </w:pPr>
            <w:r w:rsidRPr="00B5440C">
              <w:rPr>
                <w:b/>
                <w:bCs/>
                <w:color w:val="000000"/>
                <w:sz w:val="28"/>
                <w:szCs w:val="28"/>
                <w:lang w:val="en"/>
              </w:rPr>
              <w:t>Điều 1. Phạm vi điều chỉnh và đối tượng áp dụng</w:t>
            </w:r>
          </w:p>
          <w:p w14:paraId="032871AD" w14:textId="77777777" w:rsidR="00B5440C" w:rsidRPr="00B5440C" w:rsidRDefault="00B5440C" w:rsidP="00B5440C">
            <w:pPr>
              <w:pStyle w:val="NormalWeb"/>
              <w:spacing w:before="120" w:after="120"/>
              <w:ind w:firstLine="731"/>
              <w:jc w:val="both"/>
              <w:rPr>
                <w:bCs/>
                <w:color w:val="000000"/>
                <w:sz w:val="28"/>
                <w:szCs w:val="28"/>
                <w:lang w:val="en"/>
              </w:rPr>
            </w:pPr>
            <w:r w:rsidRPr="00B5440C">
              <w:rPr>
                <w:bCs/>
                <w:color w:val="000000"/>
                <w:sz w:val="28"/>
                <w:szCs w:val="28"/>
                <w:lang w:val="en"/>
              </w:rPr>
              <w:t>1. Phạm vi điều chỉnh</w:t>
            </w:r>
          </w:p>
          <w:p w14:paraId="419D9A4B" w14:textId="482C1CE0" w:rsidR="00B5440C" w:rsidRPr="00B5440C" w:rsidRDefault="004E06F1" w:rsidP="00B5440C">
            <w:pPr>
              <w:pStyle w:val="NormalWeb"/>
              <w:spacing w:before="120" w:after="120"/>
              <w:ind w:firstLine="731"/>
              <w:jc w:val="both"/>
              <w:rPr>
                <w:bCs/>
                <w:color w:val="000000"/>
                <w:sz w:val="28"/>
                <w:szCs w:val="28"/>
                <w:lang w:val="en"/>
              </w:rPr>
            </w:pPr>
            <w:r w:rsidRPr="004E06F1">
              <w:rPr>
                <w:bCs/>
                <w:color w:val="000000"/>
                <w:sz w:val="28"/>
                <w:szCs w:val="28"/>
                <w:lang w:val="en"/>
              </w:rPr>
              <w:t>Nghị quyết này quy định về mức cho vay, thời hạn cho vay, lãi suất cho vay, cơ chế xử lý nợ đối với các khoản nợ bị rủi ro từ nguồn ngân sách địa phương ủy thác qua</w:t>
            </w:r>
            <w:r w:rsidR="002C62AC">
              <w:rPr>
                <w:bCs/>
                <w:color w:val="000000"/>
                <w:sz w:val="28"/>
                <w:szCs w:val="28"/>
                <w:lang w:val="en"/>
              </w:rPr>
              <w:t xml:space="preserve"> Chi nhánh </w:t>
            </w:r>
            <w:r w:rsidRPr="004E06F1">
              <w:rPr>
                <w:bCs/>
                <w:color w:val="000000"/>
                <w:sz w:val="28"/>
                <w:szCs w:val="28"/>
                <w:lang w:val="en"/>
              </w:rPr>
              <w:t>Ngân hàng Chính sách xã hội trên địa bàn tỉnh Lạng Sơn.</w:t>
            </w:r>
          </w:p>
          <w:p w14:paraId="5634FBAD" w14:textId="77777777" w:rsidR="00B5440C" w:rsidRPr="00B5440C" w:rsidRDefault="00B5440C" w:rsidP="00B5440C">
            <w:pPr>
              <w:pStyle w:val="NormalWeb"/>
              <w:spacing w:before="120" w:after="120"/>
              <w:ind w:firstLine="731"/>
              <w:jc w:val="both"/>
              <w:rPr>
                <w:bCs/>
                <w:color w:val="000000"/>
                <w:sz w:val="28"/>
                <w:szCs w:val="28"/>
                <w:lang w:val="en"/>
              </w:rPr>
            </w:pPr>
            <w:r w:rsidRPr="00B5440C">
              <w:rPr>
                <w:bCs/>
                <w:color w:val="000000"/>
                <w:sz w:val="28"/>
                <w:szCs w:val="28"/>
                <w:lang w:val="en"/>
              </w:rPr>
              <w:t>2. Đối tượng áp dụng</w:t>
            </w:r>
          </w:p>
          <w:p w14:paraId="46F8698C" w14:textId="5CF01A16" w:rsidR="00CB5AE7" w:rsidRPr="00E64DEF" w:rsidRDefault="004E06F1" w:rsidP="00B5440C">
            <w:pPr>
              <w:pStyle w:val="NormalWeb"/>
              <w:spacing w:before="120" w:beforeAutospacing="0" w:after="120" w:afterAutospacing="0"/>
              <w:ind w:firstLine="731"/>
              <w:jc w:val="both"/>
              <w:rPr>
                <w:b/>
                <w:bCs/>
                <w:color w:val="000000"/>
                <w:sz w:val="28"/>
                <w:szCs w:val="28"/>
                <w:lang w:val="en"/>
              </w:rPr>
            </w:pPr>
            <w:r w:rsidRPr="004E06F1">
              <w:rPr>
                <w:bCs/>
                <w:color w:val="000000"/>
                <w:sz w:val="28"/>
                <w:szCs w:val="28"/>
                <w:lang w:val="en"/>
              </w:rPr>
              <w:t>Các cơ quan, đơn vị, cá nhân liên quan đến việc quản lý và sử dụng nguồn vốn ngân sách địa phương ủy thác qua NHCSXH để cho vay đối với người nghèo và các đối tượng chính sách khác trên địa bàn tỉnh Lạng Sơn</w:t>
            </w:r>
            <w:r w:rsidR="00B5440C" w:rsidRPr="00B5440C">
              <w:rPr>
                <w:bCs/>
                <w:color w:val="000000"/>
                <w:sz w:val="28"/>
                <w:szCs w:val="28"/>
                <w:lang w:val="en"/>
              </w:rPr>
              <w:t>.</w:t>
            </w:r>
          </w:p>
        </w:tc>
        <w:tc>
          <w:tcPr>
            <w:tcW w:w="7281" w:type="dxa"/>
            <w:vAlign w:val="center"/>
          </w:tcPr>
          <w:p w14:paraId="42F60709" w14:textId="4493FCEC" w:rsidR="00420EA3" w:rsidRPr="00E64DEF" w:rsidRDefault="00420EA3" w:rsidP="00563C54">
            <w:pPr>
              <w:pStyle w:val="NormalWeb"/>
              <w:spacing w:before="120" w:beforeAutospacing="0" w:after="120" w:afterAutospacing="0"/>
              <w:jc w:val="both"/>
              <w:rPr>
                <w:color w:val="000000"/>
                <w:sz w:val="28"/>
                <w:szCs w:val="28"/>
                <w:lang w:val="en"/>
              </w:rPr>
            </w:pPr>
            <w:r w:rsidRPr="00E64DEF">
              <w:rPr>
                <w:color w:val="000000"/>
                <w:sz w:val="28"/>
                <w:szCs w:val="28"/>
                <w:lang w:val="en"/>
              </w:rPr>
              <w:t xml:space="preserve">Phạm vi điều chỉnh </w:t>
            </w:r>
            <w:r w:rsidR="00563E94">
              <w:rPr>
                <w:color w:val="000000"/>
                <w:sz w:val="28"/>
                <w:szCs w:val="28"/>
                <w:lang w:val="en"/>
              </w:rPr>
              <w:t xml:space="preserve">và đối tượng áp dụng </w:t>
            </w:r>
            <w:r w:rsidRPr="00E64DEF">
              <w:rPr>
                <w:color w:val="000000"/>
                <w:sz w:val="28"/>
                <w:szCs w:val="28"/>
                <w:lang w:val="en"/>
              </w:rPr>
              <w:t xml:space="preserve">của Nghị quyết </w:t>
            </w:r>
            <w:r w:rsidR="00563C54" w:rsidRPr="00E64DEF">
              <w:rPr>
                <w:color w:val="000000"/>
                <w:sz w:val="28"/>
                <w:szCs w:val="28"/>
                <w:lang w:val="en"/>
              </w:rPr>
              <w:t>bao gồm</w:t>
            </w:r>
            <w:r w:rsidR="00B5440C" w:rsidRPr="00B5440C">
              <w:rPr>
                <w:color w:val="000000"/>
                <w:sz w:val="28"/>
                <w:szCs w:val="28"/>
                <w:lang w:val="en"/>
              </w:rPr>
              <w:t xml:space="preserve"> mức cho vay, thời hạn cho vay, lãi suất cho vay từ nguồn ngân sách địa phương ủy thác qua Ngân hàng Chính sách xã hội </w:t>
            </w:r>
            <w:r w:rsidRPr="00E64DEF">
              <w:rPr>
                <w:color w:val="000000"/>
                <w:sz w:val="28"/>
                <w:szCs w:val="28"/>
                <w:lang w:val="en"/>
              </w:rPr>
              <w:t>căn cứ vào các quy định sau:</w:t>
            </w:r>
          </w:p>
          <w:p w14:paraId="4DA7B843" w14:textId="7E1098EA" w:rsidR="00420EA3" w:rsidRPr="00E64DEF" w:rsidRDefault="00420EA3" w:rsidP="00563C54">
            <w:pPr>
              <w:pStyle w:val="NormalWeb"/>
              <w:spacing w:before="120" w:beforeAutospacing="0" w:after="120" w:afterAutospacing="0"/>
              <w:jc w:val="both"/>
              <w:rPr>
                <w:i/>
                <w:iCs/>
                <w:color w:val="000000"/>
                <w:sz w:val="28"/>
                <w:szCs w:val="28"/>
                <w:lang w:val="en"/>
              </w:rPr>
            </w:pPr>
            <w:r w:rsidRPr="00E64DEF">
              <w:rPr>
                <w:color w:val="000000"/>
                <w:sz w:val="28"/>
                <w:szCs w:val="28"/>
                <w:lang w:val="en"/>
              </w:rPr>
              <w:t xml:space="preserve">+ </w:t>
            </w:r>
            <w:r w:rsidR="006031CC">
              <w:rPr>
                <w:color w:val="000000"/>
                <w:sz w:val="28"/>
                <w:szCs w:val="28"/>
                <w:lang w:val="en"/>
              </w:rPr>
              <w:t>Khoản</w:t>
            </w:r>
            <w:r w:rsidRPr="00E64DEF">
              <w:rPr>
                <w:color w:val="000000"/>
                <w:sz w:val="28"/>
                <w:szCs w:val="28"/>
                <w:lang w:val="en"/>
              </w:rPr>
              <w:t xml:space="preserve"> 5 Điều 5 Thông tư số 11/2017/TT-BTC ngày 08/02/2017 được sửa đổi bổ sung tại </w:t>
            </w:r>
            <w:r w:rsidR="006031CC">
              <w:rPr>
                <w:color w:val="000000"/>
                <w:sz w:val="28"/>
                <w:szCs w:val="28"/>
                <w:lang w:val="en"/>
              </w:rPr>
              <w:t>khoản</w:t>
            </w:r>
            <w:r w:rsidRPr="00E64DEF">
              <w:rPr>
                <w:color w:val="000000"/>
                <w:sz w:val="28"/>
                <w:szCs w:val="28"/>
                <w:lang w:val="en"/>
              </w:rPr>
              <w:t xml:space="preserve"> 3 Điều 1 Thông tư số 84/2025/TT-BTC ngày 19/8/2025 của Bộ Tài chính quy định: </w:t>
            </w:r>
            <w:r w:rsidRPr="00E64DEF">
              <w:rPr>
                <w:i/>
                <w:iCs/>
                <w:color w:val="000000"/>
                <w:sz w:val="28"/>
                <w:szCs w:val="28"/>
                <w:lang w:val="en"/>
              </w:rPr>
              <w:t>“Mức cho vay, thời hạn cho vay, lãi suất cho vay do Hội đồng nhân dân cấp tỉnh quy định trên cơ sở các quy định hiện hành của NHCSXH và phù hợp với thực tế tại địa phương”.</w:t>
            </w:r>
          </w:p>
          <w:p w14:paraId="3654CE76" w14:textId="0FC41596" w:rsidR="00CB5AE7" w:rsidRPr="00E64DEF" w:rsidRDefault="00420EA3" w:rsidP="00563C54">
            <w:pPr>
              <w:pStyle w:val="NormalWeb"/>
              <w:spacing w:before="120" w:beforeAutospacing="0" w:after="120" w:afterAutospacing="0"/>
              <w:jc w:val="both"/>
              <w:rPr>
                <w:color w:val="000000"/>
                <w:sz w:val="28"/>
                <w:szCs w:val="28"/>
                <w:lang w:val="en"/>
              </w:rPr>
            </w:pPr>
            <w:r w:rsidRPr="00E64DEF">
              <w:rPr>
                <w:color w:val="000000"/>
                <w:sz w:val="28"/>
                <w:szCs w:val="28"/>
                <w:lang w:val="en"/>
              </w:rPr>
              <w:t xml:space="preserve">+ Điểm a </w:t>
            </w:r>
            <w:r w:rsidR="006031CC">
              <w:rPr>
                <w:color w:val="000000"/>
                <w:sz w:val="28"/>
                <w:szCs w:val="28"/>
                <w:lang w:val="en"/>
              </w:rPr>
              <w:t>khoản</w:t>
            </w:r>
            <w:r w:rsidRPr="00E64DEF">
              <w:rPr>
                <w:color w:val="000000"/>
                <w:sz w:val="28"/>
                <w:szCs w:val="28"/>
                <w:lang w:val="en"/>
              </w:rPr>
              <w:t xml:space="preserve"> 8 Điều 5 Thông tư số 11/2017/TT-BTC ngày 08/02/2017 được sửa đổi bổ sung tại </w:t>
            </w:r>
            <w:r w:rsidR="006031CC">
              <w:rPr>
                <w:color w:val="000000"/>
                <w:sz w:val="28"/>
                <w:szCs w:val="28"/>
                <w:lang w:val="en"/>
              </w:rPr>
              <w:t>khoản</w:t>
            </w:r>
            <w:r w:rsidRPr="00E64DEF">
              <w:rPr>
                <w:color w:val="000000"/>
                <w:sz w:val="28"/>
                <w:szCs w:val="28"/>
                <w:lang w:val="en"/>
              </w:rPr>
              <w:t xml:space="preserve"> 5 Điều 1 Thông tư số 84/2025/TT-BTC ngày 19/8/2025 của Bộ Tài chính quy định: </w:t>
            </w:r>
            <w:r w:rsidRPr="00E64DEF">
              <w:rPr>
                <w:i/>
                <w:iCs/>
                <w:color w:val="000000"/>
                <w:sz w:val="28"/>
                <w:szCs w:val="28"/>
                <w:lang w:val="en"/>
              </w:rPr>
              <w:t xml:space="preserve">“Đối với các </w:t>
            </w:r>
            <w:r w:rsidR="006031CC">
              <w:rPr>
                <w:i/>
                <w:iCs/>
                <w:color w:val="000000"/>
                <w:sz w:val="28"/>
                <w:szCs w:val="28"/>
                <w:lang w:val="en"/>
              </w:rPr>
              <w:t>khoản</w:t>
            </w:r>
            <w:r w:rsidRPr="00E64DEF">
              <w:rPr>
                <w:i/>
                <w:iCs/>
                <w:color w:val="000000"/>
                <w:sz w:val="28"/>
                <w:szCs w:val="28"/>
                <w:lang w:val="en"/>
              </w:rPr>
              <w:t xml:space="preserve"> nợ bị rủi ro ngoài phạm vi đối tượng </w:t>
            </w:r>
            <w:r w:rsidRPr="00E64DEF">
              <w:rPr>
                <w:i/>
                <w:iCs/>
                <w:color w:val="000000"/>
                <w:sz w:val="28"/>
                <w:szCs w:val="28"/>
                <w:lang w:val="en"/>
              </w:rPr>
              <w:lastRenderedPageBreak/>
              <w:t>và nguyên nhân khách quan được xem xét xử lý rủi ro theo quy định của Thủ tướng Chính phủ về cơ chế xử lý nợ bị rủi ro tại NHCSXH do Hội đồng nhân dân cấp tỉnh quy định”.</w:t>
            </w:r>
          </w:p>
        </w:tc>
      </w:tr>
      <w:tr w:rsidR="00CB5AE7" w:rsidRPr="00E64DEF" w14:paraId="734E53F3" w14:textId="77777777" w:rsidTr="008E0EEE">
        <w:trPr>
          <w:trHeight w:val="845"/>
        </w:trPr>
        <w:tc>
          <w:tcPr>
            <w:tcW w:w="7281" w:type="dxa"/>
            <w:vAlign w:val="center"/>
          </w:tcPr>
          <w:p w14:paraId="0B0750F3" w14:textId="6E0D2C84" w:rsidR="00B5440C" w:rsidRPr="00B5440C" w:rsidRDefault="00B5440C" w:rsidP="00B5440C">
            <w:pPr>
              <w:pStyle w:val="Vnbnnidung0"/>
              <w:spacing w:before="60" w:after="60" w:line="240" w:lineRule="auto"/>
              <w:ind w:firstLine="731"/>
              <w:jc w:val="both"/>
              <w:rPr>
                <w:rStyle w:val="Vnbnnidung"/>
                <w:rFonts w:eastAsiaTheme="majorEastAsia"/>
                <w:b/>
                <w:bCs/>
                <w:color w:val="000000" w:themeColor="text1"/>
                <w:sz w:val="28"/>
                <w:szCs w:val="28"/>
                <w:lang w:val="vi-VN"/>
              </w:rPr>
            </w:pPr>
            <w:r w:rsidRPr="00B5440C">
              <w:rPr>
                <w:rStyle w:val="Vnbnnidung"/>
                <w:rFonts w:eastAsiaTheme="majorEastAsia"/>
                <w:b/>
                <w:bCs/>
                <w:color w:val="000000" w:themeColor="text1"/>
                <w:sz w:val="28"/>
                <w:szCs w:val="28"/>
                <w:lang w:val="vi-VN"/>
              </w:rPr>
              <w:lastRenderedPageBreak/>
              <w:t xml:space="preserve">Điều </w:t>
            </w:r>
            <w:r w:rsidR="004E06F1">
              <w:rPr>
                <w:rStyle w:val="Vnbnnidung"/>
                <w:rFonts w:eastAsiaTheme="majorEastAsia"/>
                <w:b/>
                <w:bCs/>
                <w:color w:val="000000" w:themeColor="text1"/>
                <w:sz w:val="28"/>
                <w:szCs w:val="28"/>
              </w:rPr>
              <w:t>2</w:t>
            </w:r>
            <w:r w:rsidRPr="00B5440C">
              <w:rPr>
                <w:rStyle w:val="Vnbnnidung"/>
                <w:rFonts w:eastAsiaTheme="majorEastAsia"/>
                <w:b/>
                <w:bCs/>
                <w:color w:val="000000" w:themeColor="text1"/>
                <w:sz w:val="28"/>
                <w:szCs w:val="28"/>
                <w:lang w:val="vi-VN"/>
              </w:rPr>
              <w:t>. Mức cho vay, thời hạn cho vay, lãi suất cho vay, đối với từng chương trình tín dụng chính sách</w:t>
            </w:r>
          </w:p>
          <w:p w14:paraId="57C54B5C"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1. Chương trình cho vay đối với hộ nghèo (theo Nghị định số 78/2002/NĐ-CP ngày 04/10/2002 của Chính phủ), hộ cận nghèo (Theo Quyết định số 15/2013/QĐ-TTg ngày 23/02/2013 của Thủ tướng Chính phủ), hộ mới thoát nghèo (Theo Quyết định số 28/2015/QĐ-TTg ngày 21/7/2015 của Thủ tướng Chính phủ)</w:t>
            </w:r>
          </w:p>
          <w:p w14:paraId="46E8DA52"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a) Mức cho vay tối đa: 100 triệu đồng/hộ.</w:t>
            </w:r>
          </w:p>
          <w:p w14:paraId="6E0C43B8"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b) Thời hạn cho vay tối đa:</w:t>
            </w:r>
          </w:p>
          <w:p w14:paraId="678ED211"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 Đối với hộ nghèo, hộ cận nghèo: 120 tháng.</w:t>
            </w:r>
          </w:p>
          <w:p w14:paraId="6D1DC97D"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 Đối với hộ mới thoát nghèo: 60 tháng.</w:t>
            </w:r>
          </w:p>
          <w:p w14:paraId="2AC7AF28"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 xml:space="preserve">c) Lãi suất cho vay </w:t>
            </w:r>
          </w:p>
          <w:p w14:paraId="499756FD"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 Lãi suất cho vay đối với hộ nghèo: 6,24%/năm.</w:t>
            </w:r>
          </w:p>
          <w:p w14:paraId="4DF1105C"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 Lãi suất cho vay đối với hộ cận nghèo: 7,488%/năm.</w:t>
            </w:r>
          </w:p>
          <w:p w14:paraId="340D7B34"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 Lãi suất cho vay đối với hộ mới thoát nghèo: 7,8%/năm.</w:t>
            </w:r>
          </w:p>
          <w:p w14:paraId="043C554F"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d) Lãi suất nợ quá hạn bằng 130% lãi suất cho vay.</w:t>
            </w:r>
          </w:p>
          <w:p w14:paraId="19A15BE4"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2. Chương trình cho vay hỗ trợ tạo việc làm, duy trì và mở rộng việc làm (Theo Nghị định số 338/2025/NĐ-CP ngày 25 tháng 12 năm 2025 của Chính phủ quy định chi tiết một số điều của Luật việc làm về chính sách hỗ trợ tạo việc làm)</w:t>
            </w:r>
          </w:p>
          <w:p w14:paraId="5E4F0967"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lastRenderedPageBreak/>
              <w:t>a) Mức cho vay</w:t>
            </w:r>
          </w:p>
          <w:p w14:paraId="19288A83"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 Mức cho vay tối đa đối với người lao động: 200 triệu đồng/người lao động.</w:t>
            </w:r>
          </w:p>
          <w:p w14:paraId="4356921D"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 Mức cho vay tối đa đối với cơ sở sản xuất, kinh doanh: 10 tỷ đồng và không quá 200 triệu đồng cho 01 người lao động được hỗ trợ tạo việc làm, duy trì và mở rộng việc làm.</w:t>
            </w:r>
          </w:p>
          <w:p w14:paraId="6B304A29"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b) Thời hạn cho vay tối đa: 120 tháng.</w:t>
            </w:r>
          </w:p>
          <w:p w14:paraId="3699E8C0"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c) Lãi suất cho vay:</w:t>
            </w:r>
          </w:p>
          <w:p w14:paraId="4982F048"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 Đối với đối tượng vay vốn quy định tại khoản 1 Điều 9 Luật Việc làm số 74/2025/QH15: lãi suất cho vay bằng 127% lãi suất vay vốn đối với hộ nghèo theo từng thời kỳ do Thủ tướng Chính phủ quy định.</w:t>
            </w:r>
          </w:p>
          <w:p w14:paraId="3F48CE87"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 Đối với đối tượng vay vốn quy định tại khoản 3, khoản 8 Điều 9 Luật Việc làm số 74/2025/QH15: lãi suất cho vay bằng lãi suất vay vốn đối với hộ nghèo theo từng thời kỳ do Thủ tướng Chính phủ quy định.</w:t>
            </w:r>
          </w:p>
          <w:p w14:paraId="6727D8BF"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d) Lãi suất nợ quá hạn bằng 130% lãi suất cho vay.</w:t>
            </w:r>
          </w:p>
          <w:p w14:paraId="7EB31111"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3. Chương trình cho vay ưu đãi để mua, thuê mua nhà ở xã hội, nhà ở cho lực lượng vũ trang nhân dân; xây dựng hoặc cải tạo, sửa chữa nhà ở (Theo Nghị định số 100/2024/NĐ-CP ngày 26/7/2024 của Chính phủ quy định chi tiết một số điều của Luật Nhà ở về phát triển và quản lý nhà ở xã hội; Nghị định số 261/2025/NĐ-CP ngày 10/10/2025 của Chính phủ sửa đổi, bổ sung một số điều của Nghị định số 100/2024/NĐ-CP ngày 26/7/2024 của Chính phủ)</w:t>
            </w:r>
          </w:p>
          <w:p w14:paraId="36A2B8C8"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lastRenderedPageBreak/>
              <w:t>a) Mức cho vay</w:t>
            </w:r>
          </w:p>
          <w:p w14:paraId="1B979106"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 Mức cho vay để xây dựng hoặc cải tạo, sửa chữa nhà ở: tối đa bằng 70% giá trị dự toán hoặc phương án sử dụng vốn, tối đa không quá 01 tỷ đồng và không vượt quá 70% giá trị tài sản bảo đảm tiền vay.</w:t>
            </w:r>
          </w:p>
          <w:p w14:paraId="20A347C8"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 Mức cho vay để mua, thuê mua nhà ở xã hội, nhà ở cho lực lượng vũ trang nhân dân: tối đa bằng 80% giá trị Hợp đồng mua, thuê mua nhà ở xã hội, nhà ở cho lực lượng vũ trang nhân dân.</w:t>
            </w:r>
          </w:p>
          <w:p w14:paraId="33058AC4"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b) Thời hạn cho vay tối đa: 25 năm kể từ ngày giải ngân khoản vay đầu tiên.</w:t>
            </w:r>
          </w:p>
          <w:p w14:paraId="76A94323"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c) Lãi suất cho vay: 5,4%/năm.</w:t>
            </w:r>
          </w:p>
          <w:p w14:paraId="56818FEC"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d) Lãi suất nợ quá hạn bằng 130% lãi suất cho vay.</w:t>
            </w:r>
          </w:p>
          <w:p w14:paraId="437B3477"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4. Chương trình cho vay đối với người chấp hành xong án phạt tù (Theo Quyết định số 22/2023/QĐ-TTg ngày 17/8/2023 của Thủ tướng Chính phủ)</w:t>
            </w:r>
          </w:p>
          <w:p w14:paraId="68988A00"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a) Mức cho vay:</w:t>
            </w:r>
          </w:p>
          <w:p w14:paraId="3EF31ADC"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 Người chấp hành xong án phạt tù: mức cho vay tối đa là 100 triệu đồng/người.</w:t>
            </w:r>
          </w:p>
          <w:p w14:paraId="0F5A433D"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 Cơ sở sản xuất kinh doanh: mức vốn cho vay tối đa là 02 tỷ đồng/dự án và không quá 100 triệu đồng/người lao động tại cơ sở sản xuất kinh doanh.</w:t>
            </w:r>
          </w:p>
          <w:p w14:paraId="14D2426C"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b) Thời hạn cho vay tối đa: 120 tháng.</w:t>
            </w:r>
          </w:p>
          <w:p w14:paraId="614AD2BE"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 xml:space="preserve">c) Lãi suất cho vay: lãi suất cho vay bằng lãi suất vay vốn đối với hộ nghèo theo từng thời kỳ do Thủ tướng Chính </w:t>
            </w:r>
            <w:r w:rsidRPr="004E06F1">
              <w:rPr>
                <w:rStyle w:val="Vnbnnidung"/>
                <w:rFonts w:eastAsiaTheme="majorEastAsia"/>
                <w:bCs/>
                <w:color w:val="000000" w:themeColor="text1"/>
                <w:sz w:val="28"/>
                <w:szCs w:val="28"/>
                <w:lang w:val="vi-VN"/>
              </w:rPr>
              <w:lastRenderedPageBreak/>
              <w:t>phủ quy định.</w:t>
            </w:r>
          </w:p>
          <w:p w14:paraId="0E83B4FE"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d) Lãi suất nợ quá hạn bằng 130% lãi suất cho vay.</w:t>
            </w:r>
          </w:p>
          <w:p w14:paraId="6DC33250"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5. Chương trình cho vay cấp nước sạch và vệ sinh môi trường nông thôn (Theo Quyết định số 10/2024/QĐ-TTg ngày 15/7/2024 của Thủ tướng Chính phủ)</w:t>
            </w:r>
          </w:p>
          <w:p w14:paraId="746E102F"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a) Mức cho vay tối đa: 25 triệu đồng/01 loại công trình/khách hàng.</w:t>
            </w:r>
          </w:p>
          <w:p w14:paraId="3D6FD548"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b) Thời hạn cho vay tối đa: 60 tháng.</w:t>
            </w:r>
          </w:p>
          <w:p w14:paraId="06560EE4"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c) Lãi suất cho vay: 8,4%/năm.</w:t>
            </w:r>
          </w:p>
          <w:p w14:paraId="2E85EB3D"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d) Lãi suất nợ quá hạn bằng 130% lãi suất cho vay.</w:t>
            </w:r>
          </w:p>
          <w:p w14:paraId="629E55A8" w14:textId="77777777" w:rsidR="004E06F1" w:rsidRPr="00340AA8" w:rsidRDefault="004E06F1" w:rsidP="004E06F1">
            <w:pPr>
              <w:pStyle w:val="Vnbnnidung0"/>
              <w:spacing w:before="60" w:after="60" w:line="240" w:lineRule="auto"/>
              <w:ind w:firstLine="731"/>
              <w:jc w:val="both"/>
              <w:rPr>
                <w:rStyle w:val="Vnbnnidung"/>
                <w:rFonts w:eastAsiaTheme="majorEastAsia"/>
                <w:bCs/>
                <w:sz w:val="28"/>
                <w:szCs w:val="28"/>
                <w:lang w:val="vi-VN"/>
              </w:rPr>
            </w:pPr>
            <w:r w:rsidRPr="00340AA8">
              <w:rPr>
                <w:rStyle w:val="Vnbnnidung"/>
                <w:rFonts w:eastAsiaTheme="majorEastAsia"/>
                <w:bCs/>
                <w:sz w:val="28"/>
                <w:szCs w:val="28"/>
                <w:lang w:val="vi-VN"/>
              </w:rPr>
              <w:t>6. Cho vay hỗ trợ về nhà ở (Theo Nghị định số 28/2022/NĐ-CP ngày 26/4/2022 của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w:t>
            </w:r>
          </w:p>
          <w:p w14:paraId="6F48E758" w14:textId="77777777" w:rsidR="004E06F1" w:rsidRPr="00340AA8" w:rsidRDefault="004E06F1" w:rsidP="004E06F1">
            <w:pPr>
              <w:pStyle w:val="Vnbnnidung0"/>
              <w:spacing w:before="60" w:after="60" w:line="240" w:lineRule="auto"/>
              <w:ind w:firstLine="731"/>
              <w:jc w:val="both"/>
              <w:rPr>
                <w:rStyle w:val="Vnbnnidung"/>
                <w:rFonts w:eastAsiaTheme="majorEastAsia"/>
                <w:bCs/>
                <w:sz w:val="28"/>
                <w:szCs w:val="28"/>
                <w:lang w:val="vi-VN"/>
              </w:rPr>
            </w:pPr>
            <w:r w:rsidRPr="00340AA8">
              <w:rPr>
                <w:rStyle w:val="Vnbnnidung"/>
                <w:rFonts w:eastAsiaTheme="majorEastAsia"/>
                <w:bCs/>
                <w:sz w:val="28"/>
                <w:szCs w:val="28"/>
                <w:lang w:val="vi-VN"/>
              </w:rPr>
              <w:t>a) Mức cho vay tối đa: 40 triệu đồng/hộ.</w:t>
            </w:r>
          </w:p>
          <w:p w14:paraId="5AE00896" w14:textId="77777777" w:rsidR="004E06F1" w:rsidRPr="00340AA8" w:rsidRDefault="004E06F1" w:rsidP="004E06F1">
            <w:pPr>
              <w:pStyle w:val="Vnbnnidung0"/>
              <w:spacing w:before="60" w:after="60" w:line="240" w:lineRule="auto"/>
              <w:ind w:firstLine="731"/>
              <w:jc w:val="both"/>
              <w:rPr>
                <w:rStyle w:val="Vnbnnidung"/>
                <w:rFonts w:eastAsiaTheme="majorEastAsia"/>
                <w:bCs/>
                <w:sz w:val="28"/>
                <w:szCs w:val="28"/>
                <w:lang w:val="vi-VN"/>
              </w:rPr>
            </w:pPr>
            <w:r w:rsidRPr="00340AA8">
              <w:rPr>
                <w:rStyle w:val="Vnbnnidung"/>
                <w:rFonts w:eastAsiaTheme="majorEastAsia"/>
                <w:bCs/>
                <w:sz w:val="28"/>
                <w:szCs w:val="28"/>
                <w:lang w:val="vi-VN"/>
              </w:rPr>
              <w:t>b) Thời hạn cho vay tối đa: 180 tháng.</w:t>
            </w:r>
          </w:p>
          <w:p w14:paraId="5FB658CD"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c) Lãi suất cho vay: 3%/năm.</w:t>
            </w:r>
          </w:p>
          <w:p w14:paraId="7179A967"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d) Lãi suất nợ quá hạn bằng 130% lãi suất cho vay.</w:t>
            </w:r>
          </w:p>
          <w:p w14:paraId="16A35363" w14:textId="77777777" w:rsidR="0083049C" w:rsidRDefault="0083049C" w:rsidP="004E06F1">
            <w:pPr>
              <w:pStyle w:val="Vnbnnidung0"/>
              <w:spacing w:before="60" w:after="60" w:line="240" w:lineRule="auto"/>
              <w:ind w:firstLine="731"/>
              <w:jc w:val="both"/>
              <w:rPr>
                <w:rStyle w:val="Vnbnnidung"/>
                <w:rFonts w:eastAsiaTheme="majorEastAsia"/>
                <w:bCs/>
                <w:color w:val="000000" w:themeColor="text1"/>
                <w:sz w:val="28"/>
                <w:szCs w:val="28"/>
              </w:rPr>
            </w:pPr>
          </w:p>
          <w:p w14:paraId="6364DB10"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7. Mức cho vay, thời hạn cho vay, lãi suất cho vay các chương trình tín dụng chính sách được điều chỉnh trong các trường hợp sau:</w:t>
            </w:r>
          </w:p>
          <w:p w14:paraId="2F34DE63"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 xml:space="preserve">a) Mức cho vay, thời hạn cho vay tối đa theo quy định </w:t>
            </w:r>
            <w:r w:rsidRPr="004E06F1">
              <w:rPr>
                <w:rStyle w:val="Vnbnnidung"/>
                <w:rFonts w:eastAsiaTheme="majorEastAsia"/>
                <w:bCs/>
                <w:color w:val="000000" w:themeColor="text1"/>
                <w:sz w:val="28"/>
                <w:szCs w:val="28"/>
                <w:lang w:val="vi-VN"/>
              </w:rPr>
              <w:lastRenderedPageBreak/>
              <w:t>đối với các chương trình tín dụng chính sách cho vay từ nguồn vốn Trung ương được Chính phủ, Thủ tướng Chính phủ và Hội đồng quản trị Ngân hàng Chính sách xã hội điều chỉnh cao hơn mức cho vay, thời hạn cho vay theo quy định của tỉnh Lạng Sơn tại Nghị quyết này: áp dụng mức cho vay, thời hạn cho vay tối đa theo quy định của Trung ương.</w:t>
            </w:r>
          </w:p>
          <w:p w14:paraId="1A44532F"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b) Lãi suất cho vay theo quy định đối với các chương trình tín dụng chính sách cho vay từ nguồn vốn Trung ương được Chính phủ, Thủ tướng Chính phủ điều chỉnh khác so với lãi suất cho vay theo quy định của tỉnh Lạng Sơn tại Nghị quyết này: áp dụng mức lãi suất cho vay theo quy định của Trung ương.</w:t>
            </w:r>
          </w:p>
          <w:p w14:paraId="4A37F609" w14:textId="77777777" w:rsidR="004E06F1" w:rsidRPr="004E06F1" w:rsidRDefault="004E06F1" w:rsidP="004E06F1">
            <w:pPr>
              <w:pStyle w:val="Vnbnnidung0"/>
              <w:spacing w:before="60" w:after="60" w:line="240" w:lineRule="auto"/>
              <w:ind w:firstLine="731"/>
              <w:jc w:val="both"/>
              <w:rPr>
                <w:rStyle w:val="Vnbnnidung"/>
                <w:rFonts w:eastAsiaTheme="majorEastAsia"/>
                <w:bCs/>
                <w:color w:val="000000" w:themeColor="text1"/>
                <w:sz w:val="28"/>
                <w:szCs w:val="28"/>
                <w:lang w:val="vi-VN"/>
              </w:rPr>
            </w:pPr>
            <w:r w:rsidRPr="004E06F1">
              <w:rPr>
                <w:rStyle w:val="Vnbnnidung"/>
                <w:rFonts w:eastAsiaTheme="majorEastAsia"/>
                <w:bCs/>
                <w:color w:val="000000" w:themeColor="text1"/>
                <w:sz w:val="28"/>
                <w:szCs w:val="28"/>
                <w:lang w:val="vi-VN"/>
              </w:rPr>
              <w:t>Trường hợp Chính phủ hỗ trợ giảm lãi suất cho vay do thiên tai, dịch bệnh hoặc các nguyên nhân khách quan khác thì lãi suất cho vay từ nguồn vốn ngân sách địa phương ủy thác qua Ngân hàng Chính sách xã hội sẽ được giảm tương ứng như mức giảm lãi suất cho vay theo Quyết định của Thủ tướng Chính phủ.</w:t>
            </w:r>
          </w:p>
          <w:p w14:paraId="6D1A31E0" w14:textId="29E6E187" w:rsidR="00CB5AE7" w:rsidRPr="00AF14A0" w:rsidRDefault="004E06F1" w:rsidP="004E06F1">
            <w:pPr>
              <w:pStyle w:val="Vnbnnidung0"/>
              <w:spacing w:before="60" w:after="60" w:line="240" w:lineRule="auto"/>
              <w:ind w:firstLine="731"/>
              <w:jc w:val="both"/>
              <w:rPr>
                <w:rFonts w:eastAsiaTheme="majorEastAsia"/>
                <w:b/>
                <w:bCs/>
                <w:color w:val="000000" w:themeColor="text1"/>
                <w:sz w:val="28"/>
                <w:szCs w:val="28"/>
                <w:lang w:val="vi-VN"/>
              </w:rPr>
            </w:pPr>
            <w:r w:rsidRPr="004E06F1">
              <w:rPr>
                <w:rStyle w:val="Vnbnnidung"/>
                <w:rFonts w:eastAsiaTheme="majorEastAsia"/>
                <w:bCs/>
                <w:color w:val="000000" w:themeColor="text1"/>
                <w:sz w:val="28"/>
                <w:szCs w:val="28"/>
                <w:lang w:val="vi-VN"/>
              </w:rPr>
              <w:t>8. Các chương trình tín dụng chính sách khác thực hiện theo quy định của Chính phủ, Thủ tướng Chính phủ.</w:t>
            </w:r>
          </w:p>
        </w:tc>
        <w:tc>
          <w:tcPr>
            <w:tcW w:w="7281" w:type="dxa"/>
            <w:vAlign w:val="center"/>
          </w:tcPr>
          <w:p w14:paraId="164966E5" w14:textId="77777777" w:rsidR="00B5440C" w:rsidRPr="00AF14A0" w:rsidRDefault="00B5440C" w:rsidP="00563C54">
            <w:pPr>
              <w:pStyle w:val="NormalWeb"/>
              <w:spacing w:before="120" w:beforeAutospacing="0" w:after="120" w:afterAutospacing="0"/>
              <w:jc w:val="both"/>
              <w:rPr>
                <w:color w:val="000000"/>
                <w:sz w:val="28"/>
                <w:szCs w:val="28"/>
                <w:lang w:val="vi-VN"/>
              </w:rPr>
            </w:pPr>
          </w:p>
          <w:p w14:paraId="5ECFF5F7" w14:textId="02804458" w:rsidR="00B5440C" w:rsidRPr="00AF14A0" w:rsidRDefault="00B5440C" w:rsidP="004E06F1">
            <w:pPr>
              <w:pStyle w:val="NormalWeb"/>
              <w:spacing w:before="0" w:beforeAutospacing="0" w:after="120" w:afterAutospacing="0"/>
              <w:jc w:val="both"/>
              <w:rPr>
                <w:color w:val="000000"/>
                <w:sz w:val="28"/>
                <w:szCs w:val="28"/>
                <w:lang w:val="vi-VN"/>
              </w:rPr>
            </w:pPr>
            <w:r w:rsidRPr="00AF14A0">
              <w:rPr>
                <w:color w:val="000000"/>
                <w:sz w:val="28"/>
                <w:szCs w:val="28"/>
                <w:lang w:val="vi-VN"/>
              </w:rPr>
              <w:t xml:space="preserve">1. Mức cho vay, thời hạn cho vay, lãi suất cho vay chương trình được xác định: </w:t>
            </w:r>
          </w:p>
          <w:p w14:paraId="6B1BE47D" w14:textId="74BB01EE" w:rsidR="00B5440C" w:rsidRPr="00AF14A0" w:rsidRDefault="00B5440C" w:rsidP="004E06F1">
            <w:pPr>
              <w:pStyle w:val="NormalWeb"/>
              <w:spacing w:before="0" w:beforeAutospacing="0" w:after="120" w:afterAutospacing="0"/>
              <w:jc w:val="both"/>
              <w:rPr>
                <w:color w:val="000000"/>
                <w:sz w:val="28"/>
                <w:szCs w:val="28"/>
                <w:lang w:val="vi-VN"/>
              </w:rPr>
            </w:pPr>
            <w:r w:rsidRPr="00AF14A0">
              <w:rPr>
                <w:color w:val="000000"/>
                <w:sz w:val="28"/>
                <w:szCs w:val="28"/>
                <w:lang w:val="vi-VN"/>
              </w:rPr>
              <w:t>- Mức cho vay: Quyết định 15/2013/QĐ-TTg ngày 23/02/2013 của Thủ tướng Chính phủ</w:t>
            </w:r>
            <w:r w:rsidR="005B368E" w:rsidRPr="0083049C">
              <w:rPr>
                <w:color w:val="000000"/>
                <w:sz w:val="28"/>
                <w:szCs w:val="28"/>
                <w:lang w:val="vi-VN"/>
              </w:rPr>
              <w:t>,</w:t>
            </w:r>
            <w:r w:rsidRPr="00AF14A0">
              <w:rPr>
                <w:color w:val="000000"/>
                <w:sz w:val="28"/>
                <w:szCs w:val="28"/>
                <w:lang w:val="vi-VN"/>
              </w:rPr>
              <w:t xml:space="preserve"> Quyết định số 12/QĐ-HĐQT ngày 22/02/2019 của Hội đồng Quản trị NHCSXH.</w:t>
            </w:r>
          </w:p>
          <w:p w14:paraId="28196E7F" w14:textId="77777777" w:rsidR="00B5440C" w:rsidRPr="00AF14A0" w:rsidRDefault="00B5440C" w:rsidP="004E06F1">
            <w:pPr>
              <w:pStyle w:val="NormalWeb"/>
              <w:spacing w:before="0" w:beforeAutospacing="0" w:after="120" w:afterAutospacing="0"/>
              <w:jc w:val="both"/>
              <w:rPr>
                <w:color w:val="000000"/>
                <w:sz w:val="28"/>
                <w:szCs w:val="28"/>
                <w:lang w:val="vi-VN"/>
              </w:rPr>
            </w:pPr>
            <w:r w:rsidRPr="00AF14A0">
              <w:rPr>
                <w:color w:val="000000"/>
                <w:sz w:val="28"/>
                <w:szCs w:val="28"/>
                <w:lang w:val="vi-VN"/>
              </w:rPr>
              <w:t>- Thời hạn cho vay: Quyết định số 28/2015/QĐ-TTg ngày 21/7/2015 của Thủ tướng Chính phủ; Quyết định số 12/QĐ-HĐQT ngày 22/02/2019 của Hội đồng Quản trị NHCSXH; Văn bản 866/NHCS-TDNN ngày 22/02/2019 của Tổng Giám đốc NHCSXH.</w:t>
            </w:r>
          </w:p>
          <w:p w14:paraId="31B32FFC" w14:textId="77777777" w:rsidR="00E45DD8" w:rsidRPr="00AF14A0" w:rsidRDefault="00B5440C" w:rsidP="004E06F1">
            <w:pPr>
              <w:pStyle w:val="NormalWeb"/>
              <w:spacing w:before="0" w:beforeAutospacing="0" w:after="120" w:afterAutospacing="0"/>
              <w:jc w:val="both"/>
              <w:rPr>
                <w:sz w:val="28"/>
                <w:szCs w:val="28"/>
                <w:lang w:val="vi-VN"/>
              </w:rPr>
            </w:pPr>
            <w:r w:rsidRPr="00AF14A0">
              <w:rPr>
                <w:color w:val="000000"/>
                <w:sz w:val="28"/>
                <w:szCs w:val="28"/>
                <w:lang w:val="vi-VN"/>
              </w:rPr>
              <w:t>- Lãi suất cho vay: Quyết định 2553/QĐ-TTg ngày 21/11/2025; Quyết định số 1826/QĐ-TTg ngày 09/10/2013 và Quyết định số 28/2015/QĐ-TTg ngày 21/7/2015 của Thủ tướng Chính phủ.</w:t>
            </w:r>
          </w:p>
          <w:p w14:paraId="1966CBF7" w14:textId="77777777" w:rsidR="004E06F1" w:rsidRPr="00AF14A0" w:rsidRDefault="004E06F1" w:rsidP="004E06F1">
            <w:pPr>
              <w:pStyle w:val="NormalWeb"/>
              <w:spacing w:before="0" w:beforeAutospacing="0" w:after="120" w:afterAutospacing="0"/>
              <w:jc w:val="both"/>
              <w:rPr>
                <w:sz w:val="28"/>
                <w:szCs w:val="28"/>
                <w:lang w:val="vi-VN"/>
              </w:rPr>
            </w:pPr>
          </w:p>
          <w:p w14:paraId="2B7AA31A" w14:textId="77777777" w:rsidR="00AF14A0" w:rsidRPr="00AF14A0" w:rsidRDefault="00AF14A0" w:rsidP="004E06F1">
            <w:pPr>
              <w:pStyle w:val="NormalWeb"/>
              <w:spacing w:before="0" w:beforeAutospacing="0" w:after="120" w:afterAutospacing="0"/>
              <w:jc w:val="both"/>
              <w:rPr>
                <w:sz w:val="28"/>
                <w:szCs w:val="28"/>
                <w:lang w:val="vi-VN"/>
              </w:rPr>
            </w:pPr>
          </w:p>
          <w:p w14:paraId="76C55DCF" w14:textId="77777777" w:rsidR="00B5440C" w:rsidRPr="00AF14A0" w:rsidRDefault="00B5440C" w:rsidP="004E06F1">
            <w:pPr>
              <w:pStyle w:val="NormalWeb"/>
              <w:spacing w:before="0" w:beforeAutospacing="0" w:after="120" w:afterAutospacing="0"/>
              <w:jc w:val="both"/>
              <w:rPr>
                <w:sz w:val="28"/>
                <w:szCs w:val="28"/>
                <w:lang w:val="vi-VN"/>
              </w:rPr>
            </w:pPr>
            <w:r w:rsidRPr="00AF14A0">
              <w:rPr>
                <w:sz w:val="28"/>
                <w:szCs w:val="28"/>
                <w:lang w:val="vi-VN"/>
              </w:rPr>
              <w:t xml:space="preserve">2. Quy định được xác định theo cơ sở: </w:t>
            </w:r>
          </w:p>
          <w:p w14:paraId="0CACC184" w14:textId="77777777"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 Mức cho vay: Áp dụng khoản 1, khoản 2 Điều 5 Nghị định số 338/2025/NĐ-CP ngày 25/12/2025 của Chính phủ</w:t>
            </w:r>
          </w:p>
          <w:p w14:paraId="5A88AD68" w14:textId="77777777"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lastRenderedPageBreak/>
              <w:t xml:space="preserve">- Thời hạn cho vay tối đa: Áp dụng Điều 6 Nghị định số 338/2025/NĐ-CP ngày 25/12/2025 của Chính phủ </w:t>
            </w:r>
          </w:p>
          <w:p w14:paraId="40B342A1" w14:textId="77777777"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 Lãi suất cho vay: Điều 7 Nghị định số 338/2025/NĐ-CP ngày 25/12/2025 của Chính phủ; khoản 1, khoản 3 Điều 9 Luật Việc làm số 74/2025/QH15</w:t>
            </w:r>
          </w:p>
          <w:p w14:paraId="380FDE86" w14:textId="77777777" w:rsidR="00B5440C" w:rsidRPr="0083049C" w:rsidRDefault="00B5440C" w:rsidP="004E06F1">
            <w:pPr>
              <w:pStyle w:val="NormalWeb"/>
              <w:spacing w:before="0" w:beforeAutospacing="0" w:after="120" w:afterAutospacing="0"/>
              <w:jc w:val="both"/>
              <w:rPr>
                <w:sz w:val="28"/>
                <w:szCs w:val="28"/>
                <w:lang w:val="vi-VN"/>
              </w:rPr>
            </w:pPr>
          </w:p>
          <w:p w14:paraId="53D891D2" w14:textId="77777777" w:rsidR="00B5440C" w:rsidRPr="0083049C" w:rsidRDefault="00B5440C" w:rsidP="004E06F1">
            <w:pPr>
              <w:pStyle w:val="NormalWeb"/>
              <w:spacing w:before="0" w:beforeAutospacing="0" w:after="120" w:afterAutospacing="0"/>
              <w:jc w:val="both"/>
              <w:rPr>
                <w:sz w:val="28"/>
                <w:szCs w:val="28"/>
                <w:lang w:val="vi-VN"/>
              </w:rPr>
            </w:pPr>
          </w:p>
          <w:p w14:paraId="365F08A5" w14:textId="77777777" w:rsidR="00B5440C" w:rsidRPr="0083049C" w:rsidRDefault="00B5440C" w:rsidP="004E06F1">
            <w:pPr>
              <w:pStyle w:val="NormalWeb"/>
              <w:spacing w:before="0" w:beforeAutospacing="0" w:after="120" w:afterAutospacing="0"/>
              <w:jc w:val="both"/>
              <w:rPr>
                <w:sz w:val="28"/>
                <w:szCs w:val="28"/>
                <w:lang w:val="vi-VN"/>
              </w:rPr>
            </w:pPr>
          </w:p>
          <w:p w14:paraId="76DB763C" w14:textId="77777777" w:rsidR="00B5440C" w:rsidRPr="0083049C" w:rsidRDefault="00B5440C" w:rsidP="004E06F1">
            <w:pPr>
              <w:pStyle w:val="NormalWeb"/>
              <w:spacing w:before="0" w:beforeAutospacing="0" w:after="120" w:afterAutospacing="0"/>
              <w:jc w:val="both"/>
              <w:rPr>
                <w:sz w:val="28"/>
                <w:szCs w:val="28"/>
                <w:lang w:val="vi-VN"/>
              </w:rPr>
            </w:pPr>
          </w:p>
          <w:p w14:paraId="5C53C2E6" w14:textId="77777777" w:rsidR="00B5440C" w:rsidRPr="0083049C" w:rsidRDefault="00B5440C" w:rsidP="004E06F1">
            <w:pPr>
              <w:pStyle w:val="NormalWeb"/>
              <w:spacing w:before="0" w:beforeAutospacing="0" w:after="120" w:afterAutospacing="0"/>
              <w:jc w:val="both"/>
              <w:rPr>
                <w:sz w:val="28"/>
                <w:szCs w:val="28"/>
                <w:lang w:val="vi-VN"/>
              </w:rPr>
            </w:pPr>
          </w:p>
          <w:p w14:paraId="1468C900" w14:textId="77777777" w:rsidR="00B5440C" w:rsidRPr="0083049C" w:rsidRDefault="00B5440C" w:rsidP="004E06F1">
            <w:pPr>
              <w:pStyle w:val="NormalWeb"/>
              <w:spacing w:before="0" w:beforeAutospacing="0" w:after="120" w:afterAutospacing="0"/>
              <w:jc w:val="both"/>
              <w:rPr>
                <w:sz w:val="28"/>
                <w:szCs w:val="28"/>
                <w:lang w:val="vi-VN"/>
              </w:rPr>
            </w:pPr>
          </w:p>
          <w:p w14:paraId="12F3B781" w14:textId="77777777" w:rsidR="00B5440C" w:rsidRPr="0083049C" w:rsidRDefault="00B5440C" w:rsidP="004E06F1">
            <w:pPr>
              <w:pStyle w:val="NormalWeb"/>
              <w:spacing w:before="0" w:beforeAutospacing="0" w:after="120" w:afterAutospacing="0"/>
              <w:jc w:val="both"/>
              <w:rPr>
                <w:sz w:val="28"/>
                <w:szCs w:val="28"/>
                <w:lang w:val="vi-VN"/>
              </w:rPr>
            </w:pPr>
          </w:p>
          <w:p w14:paraId="2AD393AD" w14:textId="77777777" w:rsidR="00B5440C" w:rsidRPr="0083049C" w:rsidRDefault="00B5440C" w:rsidP="004E06F1">
            <w:pPr>
              <w:pStyle w:val="NormalWeb"/>
              <w:spacing w:before="0" w:beforeAutospacing="0" w:after="120" w:afterAutospacing="0"/>
              <w:jc w:val="both"/>
              <w:rPr>
                <w:sz w:val="28"/>
                <w:szCs w:val="28"/>
                <w:lang w:val="vi-VN"/>
              </w:rPr>
            </w:pPr>
          </w:p>
          <w:p w14:paraId="11D51616" w14:textId="77777777" w:rsidR="00B5440C" w:rsidRPr="0083049C" w:rsidRDefault="00B5440C" w:rsidP="004E06F1">
            <w:pPr>
              <w:pStyle w:val="NormalWeb"/>
              <w:spacing w:before="0" w:beforeAutospacing="0" w:after="120" w:afterAutospacing="0"/>
              <w:jc w:val="both"/>
              <w:rPr>
                <w:sz w:val="28"/>
                <w:szCs w:val="28"/>
                <w:lang w:val="vi-VN"/>
              </w:rPr>
            </w:pPr>
          </w:p>
          <w:p w14:paraId="17AB86FE" w14:textId="77777777" w:rsidR="004E06F1" w:rsidRPr="0083049C" w:rsidRDefault="004E06F1" w:rsidP="004E06F1">
            <w:pPr>
              <w:pStyle w:val="NormalWeb"/>
              <w:spacing w:before="0" w:beforeAutospacing="0" w:after="120" w:afterAutospacing="0"/>
              <w:jc w:val="both"/>
              <w:rPr>
                <w:sz w:val="28"/>
                <w:szCs w:val="28"/>
                <w:lang w:val="vi-VN"/>
              </w:rPr>
            </w:pPr>
          </w:p>
          <w:p w14:paraId="0380E6CD" w14:textId="77777777"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 xml:space="preserve">3. Quy định được xác định theo cơ sở: </w:t>
            </w:r>
          </w:p>
          <w:p w14:paraId="0323080A" w14:textId="77777777"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 Mức cho vay: Áp dụng khoản 2 Điều 26 Nghị định số 100/2024/NĐ-CP ngày 26/7/2024 của Chính phủ; khoản 12, Mục III Văn bản 4546/HD-NHCS ngày 01/8/2024 của Tổng Giám đốc NHCSXH.</w:t>
            </w:r>
          </w:p>
          <w:p w14:paraId="71F818A2" w14:textId="77777777"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 Thời hạn cho vay tối đa: Áp dụng khoản 5 Điều 48 Nghị định số 100/2024/NĐ-CP ngày 26/7/2024 của Chính phủ.</w:t>
            </w:r>
          </w:p>
          <w:p w14:paraId="36BD1359" w14:textId="55D5F71D"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lastRenderedPageBreak/>
              <w:t>- Lãi suất cho vay: Áp dụng theo quy định khoản 4 Điều 30 Nghị định số 261/2025/NĐ-CP ngày 10/10/2025 của Chính phủ về sửa đổi bổ sung khoản 4 Điều 48 Nghị định số 100/2024/NĐ-CP ngày 26/7/2024 của Chính phủ.</w:t>
            </w:r>
          </w:p>
          <w:p w14:paraId="0C75F279" w14:textId="77777777" w:rsidR="00B5440C" w:rsidRPr="0083049C" w:rsidRDefault="00B5440C" w:rsidP="004E06F1">
            <w:pPr>
              <w:pStyle w:val="NormalWeb"/>
              <w:spacing w:before="0" w:beforeAutospacing="0" w:after="120" w:afterAutospacing="0"/>
              <w:jc w:val="both"/>
              <w:rPr>
                <w:sz w:val="28"/>
                <w:szCs w:val="28"/>
                <w:lang w:val="vi-VN"/>
              </w:rPr>
            </w:pPr>
          </w:p>
          <w:p w14:paraId="23E3C4C1" w14:textId="77777777" w:rsidR="00B5440C" w:rsidRPr="0083049C" w:rsidRDefault="00B5440C" w:rsidP="004E06F1">
            <w:pPr>
              <w:pStyle w:val="NormalWeb"/>
              <w:spacing w:before="0" w:beforeAutospacing="0" w:after="120" w:afterAutospacing="0"/>
              <w:jc w:val="both"/>
              <w:rPr>
                <w:sz w:val="28"/>
                <w:szCs w:val="28"/>
                <w:lang w:val="vi-VN"/>
              </w:rPr>
            </w:pPr>
          </w:p>
          <w:p w14:paraId="73FFEDD0" w14:textId="77777777" w:rsidR="00B5440C" w:rsidRPr="0083049C" w:rsidRDefault="00B5440C" w:rsidP="004E06F1">
            <w:pPr>
              <w:pStyle w:val="NormalWeb"/>
              <w:spacing w:before="0" w:beforeAutospacing="0" w:after="120" w:afterAutospacing="0"/>
              <w:jc w:val="both"/>
              <w:rPr>
                <w:sz w:val="28"/>
                <w:szCs w:val="28"/>
                <w:lang w:val="vi-VN"/>
              </w:rPr>
            </w:pPr>
          </w:p>
          <w:p w14:paraId="3C532C44" w14:textId="77777777" w:rsidR="00B5440C" w:rsidRPr="0083049C" w:rsidRDefault="00B5440C" w:rsidP="004E06F1">
            <w:pPr>
              <w:pStyle w:val="NormalWeb"/>
              <w:spacing w:before="0" w:beforeAutospacing="0" w:after="120" w:afterAutospacing="0"/>
              <w:jc w:val="both"/>
              <w:rPr>
                <w:sz w:val="28"/>
                <w:szCs w:val="28"/>
                <w:lang w:val="vi-VN"/>
              </w:rPr>
            </w:pPr>
          </w:p>
          <w:p w14:paraId="5DD5EF2A" w14:textId="77777777" w:rsidR="00B5440C" w:rsidRPr="0083049C" w:rsidRDefault="00B5440C" w:rsidP="004E06F1">
            <w:pPr>
              <w:pStyle w:val="NormalWeb"/>
              <w:spacing w:before="0" w:beforeAutospacing="0" w:after="120" w:afterAutospacing="0"/>
              <w:jc w:val="both"/>
              <w:rPr>
                <w:sz w:val="28"/>
                <w:szCs w:val="28"/>
                <w:lang w:val="vi-VN"/>
              </w:rPr>
            </w:pPr>
          </w:p>
          <w:p w14:paraId="39E124FF" w14:textId="77777777" w:rsidR="004E06F1" w:rsidRPr="0083049C" w:rsidRDefault="004E06F1" w:rsidP="004E06F1">
            <w:pPr>
              <w:pStyle w:val="NormalWeb"/>
              <w:spacing w:before="0" w:beforeAutospacing="0" w:after="120" w:afterAutospacing="0"/>
              <w:jc w:val="both"/>
              <w:rPr>
                <w:sz w:val="28"/>
                <w:szCs w:val="28"/>
                <w:lang w:val="vi-VN"/>
              </w:rPr>
            </w:pPr>
          </w:p>
          <w:p w14:paraId="0D55200F" w14:textId="77777777" w:rsidR="004E06F1" w:rsidRPr="0083049C" w:rsidRDefault="004E06F1" w:rsidP="004E06F1">
            <w:pPr>
              <w:pStyle w:val="NormalWeb"/>
              <w:spacing w:before="0" w:beforeAutospacing="0" w:after="120" w:afterAutospacing="0"/>
              <w:jc w:val="both"/>
              <w:rPr>
                <w:sz w:val="28"/>
                <w:szCs w:val="28"/>
                <w:lang w:val="vi-VN"/>
              </w:rPr>
            </w:pPr>
          </w:p>
          <w:p w14:paraId="150E479F" w14:textId="77777777"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4. Quy định được xác định theo cơ sở:</w:t>
            </w:r>
          </w:p>
          <w:p w14:paraId="5FDE5F5A" w14:textId="77777777"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 Mức cho vay: Điều 6 Quyết định 22/2023/QĐ-TTg ngày 17/8/2023 của Thủ tướng Chính phủ</w:t>
            </w:r>
          </w:p>
          <w:p w14:paraId="70FCE033" w14:textId="77777777"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 Thời hạn cho vay tối đa: Điều 8 Quyết định 22/2023/QĐ-TTg ngày 17/8/2023 của Thủ tướng Chính phủ</w:t>
            </w:r>
          </w:p>
          <w:p w14:paraId="38984120" w14:textId="303202EF"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 Lãi suất cho vay: Áp dụng Điều 9 Quyết định 22/2023/QĐ-TTg ngày 17/8/2023 của Thủ tướng Chính phủ; Điều 1 Quyết định 2553/QĐ-TTg ngày 21/11/2025 của Thủ tướng Chính phủ</w:t>
            </w:r>
          </w:p>
          <w:p w14:paraId="09A74ECA" w14:textId="77777777" w:rsidR="00B5440C" w:rsidRPr="0083049C" w:rsidRDefault="00B5440C" w:rsidP="004E06F1">
            <w:pPr>
              <w:pStyle w:val="NormalWeb"/>
              <w:spacing w:before="0" w:beforeAutospacing="0" w:after="120" w:afterAutospacing="0"/>
              <w:jc w:val="both"/>
              <w:rPr>
                <w:sz w:val="28"/>
                <w:szCs w:val="28"/>
                <w:lang w:val="vi-VN"/>
              </w:rPr>
            </w:pPr>
          </w:p>
          <w:p w14:paraId="72864531" w14:textId="77777777" w:rsidR="00B5440C" w:rsidRPr="0083049C" w:rsidRDefault="00B5440C" w:rsidP="004E06F1">
            <w:pPr>
              <w:pStyle w:val="NormalWeb"/>
              <w:spacing w:before="0" w:beforeAutospacing="0" w:after="120" w:afterAutospacing="0"/>
              <w:jc w:val="both"/>
              <w:rPr>
                <w:sz w:val="28"/>
                <w:szCs w:val="28"/>
                <w:lang w:val="vi-VN"/>
              </w:rPr>
            </w:pPr>
          </w:p>
          <w:p w14:paraId="1700B743" w14:textId="77777777" w:rsidR="00E55A86" w:rsidRPr="0083049C" w:rsidRDefault="00E55A86" w:rsidP="004E06F1">
            <w:pPr>
              <w:pStyle w:val="NormalWeb"/>
              <w:spacing w:before="0" w:beforeAutospacing="0" w:after="120" w:afterAutospacing="0"/>
              <w:jc w:val="both"/>
              <w:rPr>
                <w:sz w:val="28"/>
                <w:szCs w:val="28"/>
                <w:lang w:val="vi-VN"/>
              </w:rPr>
            </w:pPr>
          </w:p>
          <w:p w14:paraId="15BB95A0" w14:textId="77777777" w:rsidR="004E06F1" w:rsidRPr="0083049C" w:rsidRDefault="004E06F1" w:rsidP="004E06F1">
            <w:pPr>
              <w:pStyle w:val="NormalWeb"/>
              <w:spacing w:before="0" w:beforeAutospacing="0" w:after="120" w:afterAutospacing="0"/>
              <w:jc w:val="both"/>
              <w:rPr>
                <w:sz w:val="28"/>
                <w:szCs w:val="28"/>
                <w:lang w:val="vi-VN"/>
              </w:rPr>
            </w:pPr>
          </w:p>
          <w:p w14:paraId="1F2A2360" w14:textId="77777777"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5. Quy định được xác định theo cơ sở:</w:t>
            </w:r>
          </w:p>
          <w:p w14:paraId="2E9BD2E6" w14:textId="77777777"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 Mức cho vay: Áp dụng Điều 6 Quyết định 10/2024/QĐ-TTg ngày 15/7/2024 của Thủ tướng Chính phủ</w:t>
            </w:r>
          </w:p>
          <w:p w14:paraId="2AF67DCC" w14:textId="77777777"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 Thời hạn cho vay tối đa: Áp dụng Điều 8 Quyết định 10/2024/QĐ-TTg ngày 15/7/2024 của Thủ tướng Chính phủ</w:t>
            </w:r>
          </w:p>
          <w:p w14:paraId="24195047" w14:textId="4D44D672"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 Lãi suất cho vay: Áp dụng khoản 3 Điều 1 Quyết định số 2553/QĐ-TTg ngày 21/11/2025 của Thủ tướng Chính phủ</w:t>
            </w:r>
          </w:p>
          <w:p w14:paraId="1B130041" w14:textId="77777777"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6. Quy định được xác định theo cơ sở:</w:t>
            </w:r>
          </w:p>
          <w:p w14:paraId="42FD700A" w14:textId="77777777"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 Mức cho vay: Áp dụng Điều 17 chương III Nghị định 28/2022/NĐ-CP ngày 26/4/2022 của Chính phủ.</w:t>
            </w:r>
          </w:p>
          <w:p w14:paraId="0FC012D7" w14:textId="77777777"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 Thời hạn cho vay tối đa: Áp dụng Điều 18 chương III Nghị định 28/2022/NĐ-CP ngày 26/4/2022 của Chính phủ</w:t>
            </w:r>
          </w:p>
          <w:p w14:paraId="41430636" w14:textId="77777777"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 Lãi suất cho vay: Áp dụng Điều 19 chương III Nghị định 28/2022/NĐ-CP ngày 26/4/2022 của Chính phủ</w:t>
            </w:r>
          </w:p>
          <w:p w14:paraId="0CB14632" w14:textId="52CF4706" w:rsidR="00503594" w:rsidRPr="00340AA8" w:rsidRDefault="0083049C" w:rsidP="004E06F1">
            <w:pPr>
              <w:pStyle w:val="NormalWeb"/>
              <w:spacing w:before="0" w:beforeAutospacing="0" w:after="120" w:afterAutospacing="0"/>
              <w:jc w:val="both"/>
              <w:rPr>
                <w:sz w:val="28"/>
                <w:szCs w:val="28"/>
                <w:lang w:val="vi-VN"/>
              </w:rPr>
            </w:pPr>
            <w:bookmarkStart w:id="0" w:name="_GoBack"/>
            <w:r w:rsidRPr="00340AA8">
              <w:rPr>
                <w:sz w:val="28"/>
                <w:szCs w:val="28"/>
                <w:lang w:val="vi-VN"/>
              </w:rPr>
              <w:t>- Nguồn vốn cho vay và cơ chế cấp bù lãi suất theo quy định tại Điều 5, Nghị định số 28/2022/NĐ-CP ngày 26/4/2022 của Chính phủ.</w:t>
            </w:r>
          </w:p>
          <w:bookmarkEnd w:id="0"/>
          <w:p w14:paraId="51434925" w14:textId="77777777"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 xml:space="preserve">7. Quy định việc điều chỉnh mức cho vay, thời hạn cho vay, lãi suất cho vay khi Chính phủ, Thủ tướng Chính phủ điều chỉnh, thay đổi mức cho vay, thời hạn cho vay, lãi suất cho vay đối với nguồn vốn trung ương nhằm tạo sự thống nhất giữa việc quản lý và sử dụng vốn ngân sách địa phương uỷ thác qua </w:t>
            </w:r>
            <w:r w:rsidRPr="0083049C">
              <w:rPr>
                <w:sz w:val="28"/>
                <w:szCs w:val="28"/>
                <w:lang w:val="vi-VN"/>
              </w:rPr>
              <w:lastRenderedPageBreak/>
              <w:t>Ngân hàng Chính sách xã hội với nguồn vốn trung ương và các nguồn vốn khác để cho vay tại Ngân hàng Chính sách xã hội.</w:t>
            </w:r>
          </w:p>
          <w:p w14:paraId="07D740DC" w14:textId="1078BD6C" w:rsidR="00B5440C" w:rsidRPr="0083049C" w:rsidRDefault="00B5440C" w:rsidP="004E06F1">
            <w:pPr>
              <w:pStyle w:val="NormalWeb"/>
              <w:spacing w:before="0" w:beforeAutospacing="0" w:after="120" w:afterAutospacing="0"/>
              <w:jc w:val="both"/>
              <w:rPr>
                <w:sz w:val="28"/>
                <w:szCs w:val="28"/>
                <w:lang w:val="vi-VN"/>
              </w:rPr>
            </w:pPr>
            <w:r w:rsidRPr="0083049C">
              <w:rPr>
                <w:sz w:val="28"/>
                <w:szCs w:val="28"/>
                <w:lang w:val="vi-VN"/>
              </w:rPr>
              <w:t xml:space="preserve"> Đồng thời việc quy định hỗ trợ giảm lãi suất nhằm tạo điều kiện cho khách hàng vay vốn tại NHCSXH bằng nguồn vốn ngân sách địa phương bị ảnh hưởng của thiên tai, dịch bệnh, nguyên nhân khác cũng được hưởng chính sách hỗ trợ lãi suất như khách hàng vay vốn bằng nguồn trung ương. Thực tiễn trong năm 2024, do ảnh hưởng của cơn bão số 3, Thủ tướng chính phủ đã ban hành Quyết định số 1629/QĐ-TTg ngày 23/12/2024, giảm lãi suất 2%/năm, áp dụng đối với các khoản vay có dư nợ từ ngày 01/9/2025-31/12/2025; Năm 2025: Do ảnh hưởng sau bão số 12, Thủ tướng Chính phủ ban hành Quyết định số 2654/QĐ-TTg ngày 04/12/2025, giảm lãi suất 2%/năm cho khách hàng vay vốn tại NHCSXH cho các khoản vay có dư nợ tại NHCSXH từ ngày 01/10/2025-31/12/2025.</w:t>
            </w:r>
          </w:p>
          <w:p w14:paraId="5867DB1D" w14:textId="77777777" w:rsidR="004E06F1" w:rsidRPr="0083049C" w:rsidRDefault="004E06F1" w:rsidP="004E06F1">
            <w:pPr>
              <w:pStyle w:val="NormalWeb"/>
              <w:spacing w:before="0" w:beforeAutospacing="0" w:after="120" w:afterAutospacing="0"/>
              <w:jc w:val="both"/>
              <w:rPr>
                <w:sz w:val="28"/>
                <w:szCs w:val="28"/>
                <w:lang w:val="vi-VN"/>
              </w:rPr>
            </w:pPr>
          </w:p>
          <w:p w14:paraId="20F85E82" w14:textId="6E69BAA1" w:rsidR="00B5440C" w:rsidRPr="00E45DD8" w:rsidRDefault="00B5440C" w:rsidP="004E06F1">
            <w:pPr>
              <w:pStyle w:val="NormalWeb"/>
              <w:spacing w:before="0" w:beforeAutospacing="0" w:after="120" w:afterAutospacing="0"/>
              <w:jc w:val="both"/>
              <w:rPr>
                <w:sz w:val="28"/>
                <w:szCs w:val="28"/>
                <w:lang w:val="en"/>
              </w:rPr>
            </w:pPr>
            <w:r>
              <w:rPr>
                <w:sz w:val="28"/>
                <w:szCs w:val="28"/>
                <w:lang w:val="en"/>
              </w:rPr>
              <w:t xml:space="preserve">8. </w:t>
            </w:r>
            <w:r w:rsidR="00503594" w:rsidRPr="00503594">
              <w:rPr>
                <w:sz w:val="28"/>
                <w:szCs w:val="28"/>
                <w:lang w:val="en"/>
              </w:rPr>
              <w:t>Quy định cho các chương trình tín dụng chính sách khác do Chính phủ, Thủ tướng Chính phủ ban hành tạo sự linh hoạt trong sử dụng vốn Ngân sách địa phương uỷ thác qua Ngân hàng Chính sách xã hội</w:t>
            </w:r>
            <w:proofErr w:type="gramStart"/>
            <w:r w:rsidR="00503594" w:rsidRPr="00503594">
              <w:rPr>
                <w:sz w:val="28"/>
                <w:szCs w:val="28"/>
                <w:lang w:val="en"/>
              </w:rPr>
              <w:t>.</w:t>
            </w:r>
            <w:r w:rsidR="00EB2F55">
              <w:rPr>
                <w:sz w:val="28"/>
                <w:szCs w:val="28"/>
                <w:lang w:val="en"/>
              </w:rPr>
              <w:t>.</w:t>
            </w:r>
            <w:proofErr w:type="gramEnd"/>
          </w:p>
        </w:tc>
      </w:tr>
      <w:tr w:rsidR="00563C54" w:rsidRPr="0083049C" w14:paraId="45D00C7D" w14:textId="77777777" w:rsidTr="00563C54">
        <w:tc>
          <w:tcPr>
            <w:tcW w:w="7281" w:type="dxa"/>
            <w:vAlign w:val="center"/>
          </w:tcPr>
          <w:p w14:paraId="3C8465C2" w14:textId="79B28987" w:rsidR="00B5440C" w:rsidRPr="00B5440C" w:rsidRDefault="00B5440C" w:rsidP="00B5440C">
            <w:pPr>
              <w:spacing w:before="60" w:after="60"/>
              <w:ind w:firstLine="720"/>
              <w:jc w:val="both"/>
              <w:rPr>
                <w:b/>
                <w:bCs/>
                <w:color w:val="000000"/>
              </w:rPr>
            </w:pPr>
            <w:r w:rsidRPr="00B5440C">
              <w:rPr>
                <w:b/>
                <w:bCs/>
                <w:color w:val="000000"/>
              </w:rPr>
              <w:lastRenderedPageBreak/>
              <w:t xml:space="preserve">Điều </w:t>
            </w:r>
            <w:r w:rsidR="004E06F1">
              <w:rPr>
                <w:b/>
                <w:bCs/>
                <w:color w:val="000000"/>
              </w:rPr>
              <w:t>3</w:t>
            </w:r>
            <w:r w:rsidRPr="00B5440C">
              <w:rPr>
                <w:b/>
                <w:bCs/>
                <w:color w:val="000000"/>
              </w:rPr>
              <w:t>. Nguồn vốn cho vay</w:t>
            </w:r>
          </w:p>
          <w:p w14:paraId="3444632E" w14:textId="7566C631" w:rsidR="0083049C" w:rsidRDefault="00433905" w:rsidP="00433905">
            <w:pPr>
              <w:spacing w:before="60" w:after="60"/>
              <w:ind w:firstLine="720"/>
              <w:jc w:val="both"/>
              <w:rPr>
                <w:bCs/>
                <w:color w:val="000000"/>
              </w:rPr>
            </w:pPr>
            <w:r>
              <w:rPr>
                <w:bCs/>
                <w:color w:val="000000"/>
              </w:rPr>
              <w:t xml:space="preserve">1. </w:t>
            </w:r>
            <w:r w:rsidR="004E06F1" w:rsidRPr="004E06F1">
              <w:rPr>
                <w:bCs/>
                <w:color w:val="000000"/>
              </w:rPr>
              <w:t>Nguồn vốn ngân sách cấp tỉnh được trích hàng năm uỷ thác qua Chi nhánh Ngân hàng Chính sách xã hội tỉnh theo tình hình thực tế của địa phương và khả năng cân đối ngân sách</w:t>
            </w:r>
            <w:r w:rsidR="00B5440C" w:rsidRPr="00B5440C">
              <w:rPr>
                <w:bCs/>
                <w:color w:val="000000"/>
              </w:rPr>
              <w:t>.</w:t>
            </w:r>
          </w:p>
          <w:p w14:paraId="2C6C91E1" w14:textId="77777777" w:rsidR="00433905" w:rsidRDefault="00433905" w:rsidP="00433905">
            <w:pPr>
              <w:spacing w:before="60" w:after="60"/>
              <w:ind w:firstLine="720"/>
              <w:jc w:val="both"/>
              <w:rPr>
                <w:bCs/>
                <w:color w:val="000000"/>
              </w:rPr>
            </w:pPr>
          </w:p>
          <w:p w14:paraId="5C2541DF" w14:textId="77777777" w:rsidR="00433905" w:rsidRDefault="00433905" w:rsidP="00433905">
            <w:pPr>
              <w:spacing w:before="60" w:after="60"/>
              <w:ind w:firstLine="720"/>
              <w:jc w:val="both"/>
              <w:rPr>
                <w:bCs/>
                <w:color w:val="000000"/>
              </w:rPr>
            </w:pPr>
          </w:p>
          <w:p w14:paraId="1C5CFFC0" w14:textId="77777777" w:rsidR="00433905" w:rsidRDefault="00433905" w:rsidP="00433905">
            <w:pPr>
              <w:spacing w:before="60" w:after="60"/>
              <w:ind w:firstLine="720"/>
              <w:jc w:val="both"/>
              <w:rPr>
                <w:bCs/>
                <w:color w:val="000000"/>
              </w:rPr>
            </w:pPr>
          </w:p>
          <w:p w14:paraId="36CC2644" w14:textId="77777777" w:rsidR="00433905" w:rsidRDefault="00433905" w:rsidP="00433905">
            <w:pPr>
              <w:spacing w:before="60" w:after="60"/>
              <w:ind w:firstLine="720"/>
              <w:jc w:val="both"/>
              <w:rPr>
                <w:bCs/>
                <w:color w:val="000000"/>
              </w:rPr>
            </w:pPr>
          </w:p>
          <w:p w14:paraId="50E4DD69" w14:textId="77777777" w:rsidR="00433905" w:rsidRDefault="00433905" w:rsidP="00433905">
            <w:pPr>
              <w:spacing w:before="60" w:after="60"/>
              <w:ind w:firstLine="720"/>
              <w:jc w:val="both"/>
              <w:rPr>
                <w:bCs/>
                <w:color w:val="000000"/>
              </w:rPr>
            </w:pPr>
          </w:p>
          <w:p w14:paraId="770EF5C2" w14:textId="77777777" w:rsidR="00433905" w:rsidRDefault="00433905" w:rsidP="00433905">
            <w:pPr>
              <w:spacing w:before="60" w:after="60"/>
              <w:ind w:firstLine="720"/>
              <w:jc w:val="both"/>
              <w:rPr>
                <w:bCs/>
                <w:color w:val="000000"/>
              </w:rPr>
            </w:pPr>
          </w:p>
          <w:p w14:paraId="13F713E8" w14:textId="77777777" w:rsidR="00433905" w:rsidRDefault="00433905" w:rsidP="00433905">
            <w:pPr>
              <w:spacing w:before="60" w:after="60"/>
              <w:ind w:firstLine="720"/>
              <w:jc w:val="both"/>
              <w:rPr>
                <w:bCs/>
                <w:color w:val="000000"/>
              </w:rPr>
            </w:pPr>
          </w:p>
          <w:p w14:paraId="08C36BA6" w14:textId="77777777" w:rsidR="00433905" w:rsidRDefault="00433905" w:rsidP="00433905">
            <w:pPr>
              <w:spacing w:before="60" w:after="60"/>
              <w:ind w:firstLine="720"/>
              <w:jc w:val="both"/>
              <w:rPr>
                <w:bCs/>
                <w:color w:val="000000"/>
              </w:rPr>
            </w:pPr>
          </w:p>
          <w:p w14:paraId="4C0573E7" w14:textId="77777777" w:rsidR="00433905" w:rsidRDefault="00433905" w:rsidP="00433905">
            <w:pPr>
              <w:spacing w:before="60" w:after="60"/>
              <w:ind w:firstLine="720"/>
              <w:jc w:val="both"/>
              <w:rPr>
                <w:bCs/>
                <w:color w:val="000000"/>
              </w:rPr>
            </w:pPr>
          </w:p>
          <w:p w14:paraId="519B6FE3" w14:textId="77777777" w:rsidR="00433905" w:rsidRDefault="00433905" w:rsidP="00433905">
            <w:pPr>
              <w:spacing w:before="60" w:after="60"/>
              <w:ind w:firstLine="720"/>
              <w:jc w:val="both"/>
              <w:rPr>
                <w:bCs/>
                <w:color w:val="000000"/>
              </w:rPr>
            </w:pPr>
          </w:p>
          <w:p w14:paraId="083C5264" w14:textId="42621A84" w:rsidR="00433905" w:rsidRPr="00433905" w:rsidRDefault="00433905" w:rsidP="00433905">
            <w:pPr>
              <w:spacing w:before="60" w:after="60"/>
              <w:ind w:firstLine="720"/>
              <w:jc w:val="both"/>
              <w:rPr>
                <w:rStyle w:val="Vnbnnidung"/>
                <w:rFonts w:eastAsiaTheme="minorHAnsi" w:cstheme="minorBidi"/>
                <w:bCs/>
                <w:color w:val="000000"/>
                <w:sz w:val="28"/>
                <w:szCs w:val="22"/>
              </w:rPr>
            </w:pPr>
            <w:r>
              <w:rPr>
                <w:bCs/>
                <w:color w:val="000000"/>
              </w:rPr>
              <w:t xml:space="preserve">2. </w:t>
            </w:r>
            <w:r w:rsidRPr="00433905">
              <w:rPr>
                <w:bCs/>
                <w:color w:val="000000"/>
              </w:rPr>
              <w:t>Các nguồn khác theo quy định của pháp luật hiện hành.</w:t>
            </w:r>
          </w:p>
          <w:p w14:paraId="54B8EFA6" w14:textId="438BCE3E" w:rsidR="0083049C" w:rsidRPr="0083049C" w:rsidRDefault="0083049C" w:rsidP="00B5440C">
            <w:pPr>
              <w:spacing w:before="60" w:after="60"/>
              <w:ind w:firstLine="720"/>
              <w:jc w:val="both"/>
              <w:rPr>
                <w:rStyle w:val="Vnbnnidung"/>
                <w:rFonts w:eastAsiaTheme="minorHAnsi" w:cstheme="minorBidi"/>
                <w:sz w:val="28"/>
                <w:szCs w:val="22"/>
              </w:rPr>
            </w:pPr>
          </w:p>
        </w:tc>
        <w:tc>
          <w:tcPr>
            <w:tcW w:w="7281" w:type="dxa"/>
            <w:vAlign w:val="center"/>
          </w:tcPr>
          <w:p w14:paraId="2FFAD5FD" w14:textId="77777777" w:rsidR="0083049C" w:rsidRPr="00340AA8" w:rsidRDefault="0083049C" w:rsidP="004C3DB1">
            <w:pPr>
              <w:pStyle w:val="NormalWeb"/>
              <w:spacing w:before="120" w:beforeAutospacing="0" w:after="120" w:afterAutospacing="0"/>
              <w:jc w:val="both"/>
              <w:rPr>
                <w:sz w:val="28"/>
                <w:szCs w:val="28"/>
                <w:lang w:val="nl-NL"/>
              </w:rPr>
            </w:pPr>
          </w:p>
          <w:p w14:paraId="48A003C2" w14:textId="77777777" w:rsidR="0083049C" w:rsidRPr="00340AA8" w:rsidRDefault="0083049C" w:rsidP="0083049C">
            <w:pPr>
              <w:pStyle w:val="NormalWeb"/>
              <w:spacing w:before="120" w:beforeAutospacing="0" w:after="120" w:afterAutospacing="0"/>
              <w:jc w:val="both"/>
              <w:rPr>
                <w:i/>
                <w:sz w:val="28"/>
                <w:szCs w:val="28"/>
                <w:lang w:val="nl-NL"/>
              </w:rPr>
            </w:pPr>
            <w:r w:rsidRPr="00340AA8">
              <w:rPr>
                <w:sz w:val="28"/>
                <w:szCs w:val="28"/>
                <w:lang w:val="nl-NL"/>
              </w:rPr>
              <w:t xml:space="preserve">1. </w:t>
            </w:r>
            <w:r w:rsidR="00E45DD8" w:rsidRPr="00340AA8">
              <w:rPr>
                <w:sz w:val="28"/>
                <w:szCs w:val="28"/>
                <w:lang w:val="nl-NL"/>
              </w:rPr>
              <w:t xml:space="preserve">Nguồn vốn ngân sách cấp tỉnh uỷ thác qua Chi nhánh Ngân hàng chính sách xã hội được xác định trên cơ sở Luật Đầu tư công, Luật Ngân sách Nhà nước: Trong đó xác định vốn uỷ </w:t>
            </w:r>
            <w:r w:rsidR="00E45DD8" w:rsidRPr="00340AA8">
              <w:rPr>
                <w:sz w:val="28"/>
                <w:szCs w:val="28"/>
                <w:lang w:val="nl-NL"/>
              </w:rPr>
              <w:lastRenderedPageBreak/>
              <w:t xml:space="preserve">thác qua Ngân hàng chính sách xã hội thuộc chi đầu tư phát triển thuộc ngân sách địa phương, </w:t>
            </w:r>
            <w:r w:rsidR="00E45DD8" w:rsidRPr="00340AA8">
              <w:rPr>
                <w:b/>
                <w:sz w:val="28"/>
                <w:szCs w:val="28"/>
                <w:lang w:val="nl-NL"/>
              </w:rPr>
              <w:t>bố trí trong kế hoạch đầu tư công,</w:t>
            </w:r>
            <w:r w:rsidR="00E45DD8" w:rsidRPr="00340AA8">
              <w:rPr>
                <w:sz w:val="28"/>
                <w:szCs w:val="28"/>
                <w:lang w:val="nl-NL"/>
              </w:rPr>
              <w:t xml:space="preserve"> dự toán ngân sách hàng năm; Và quy định tại Điều 5 Thông tư số 11/2017/TT-BTC ngày 11/2017/TT-BTC ngày 08 tháng 02 năm 2017 của Bộ trưởng Bộ Tài chính được sửa đổi bổ sung tại</w:t>
            </w:r>
            <w:r w:rsidR="00B9331F" w:rsidRPr="00340AA8">
              <w:rPr>
                <w:sz w:val="28"/>
                <w:szCs w:val="28"/>
                <w:lang w:val="nl-NL"/>
              </w:rPr>
              <w:t xml:space="preserve"> khoản 1, Điều 1</w:t>
            </w:r>
            <w:r w:rsidR="00E45DD8" w:rsidRPr="00340AA8">
              <w:rPr>
                <w:sz w:val="28"/>
                <w:szCs w:val="28"/>
                <w:lang w:val="nl-NL"/>
              </w:rPr>
              <w:t xml:space="preserve"> Thông tư số 84/2025/</w:t>
            </w:r>
            <w:r w:rsidR="00B9331F" w:rsidRPr="00340AA8">
              <w:rPr>
                <w:sz w:val="28"/>
                <w:szCs w:val="28"/>
                <w:lang w:val="nl-NL"/>
              </w:rPr>
              <w:t xml:space="preserve">TT-BTC như sau: </w:t>
            </w:r>
            <w:r w:rsidR="00B9331F" w:rsidRPr="00340AA8">
              <w:rPr>
                <w:i/>
                <w:sz w:val="28"/>
                <w:szCs w:val="28"/>
                <w:lang w:val="nl-NL"/>
              </w:rPr>
              <w:t>“2. Nguồn vốn ngân sách cấp tỉnh trích hàng năm (tùy theo tình tình thực tế của từng địa phương và khả năng câ</w:t>
            </w:r>
            <w:r w:rsidR="004C3DB1" w:rsidRPr="00340AA8">
              <w:rPr>
                <w:i/>
                <w:sz w:val="28"/>
                <w:szCs w:val="28"/>
                <w:lang w:val="nl-NL"/>
              </w:rPr>
              <w:t>n đối ngân sách) ủy thác qua Chi</w:t>
            </w:r>
            <w:r w:rsidR="00B9331F" w:rsidRPr="00340AA8">
              <w:rPr>
                <w:i/>
                <w:sz w:val="28"/>
                <w:szCs w:val="28"/>
                <w:lang w:val="nl-NL"/>
              </w:rPr>
              <w:t xml:space="preserve"> nh</w:t>
            </w:r>
            <w:r w:rsidR="004C3DB1" w:rsidRPr="00340AA8">
              <w:rPr>
                <w:i/>
                <w:sz w:val="28"/>
                <w:szCs w:val="28"/>
                <w:lang w:val="nl-NL"/>
              </w:rPr>
              <w:t>á</w:t>
            </w:r>
            <w:r w:rsidR="00B9331F" w:rsidRPr="00340AA8">
              <w:rPr>
                <w:i/>
                <w:sz w:val="28"/>
                <w:szCs w:val="28"/>
                <w:lang w:val="nl-NL"/>
              </w:rPr>
              <w:t>nh NHCSXH cấp tỉnh để cho vay đối với người nghèo và các đối tượng chính sách khác do Hội đồng nhân dân cấp tỉnh quyết định”.</w:t>
            </w:r>
          </w:p>
          <w:p w14:paraId="1881C786" w14:textId="6686C709" w:rsidR="00433905" w:rsidRPr="00340AA8" w:rsidRDefault="00433905" w:rsidP="0083049C">
            <w:pPr>
              <w:pStyle w:val="NormalWeb"/>
              <w:spacing w:before="120" w:beforeAutospacing="0" w:after="120" w:afterAutospacing="0"/>
              <w:jc w:val="both"/>
              <w:rPr>
                <w:sz w:val="28"/>
                <w:szCs w:val="28"/>
                <w:lang w:val="nl-NL"/>
              </w:rPr>
            </w:pPr>
            <w:r w:rsidRPr="00340AA8">
              <w:rPr>
                <w:sz w:val="28"/>
                <w:szCs w:val="28"/>
                <w:lang w:val="nl-NL"/>
              </w:rPr>
              <w:t>2. Để đảm bảo tính bao quát của tất cả các nguồn vốn theo các chương trình tín dụng chính sách</w:t>
            </w:r>
            <w:r w:rsidR="00340AA8" w:rsidRPr="00340AA8">
              <w:rPr>
                <w:sz w:val="28"/>
                <w:szCs w:val="28"/>
                <w:lang w:val="nl-NL"/>
              </w:rPr>
              <w:t xml:space="preserve"> và các quy định tại các văn bản khác liên quan</w:t>
            </w:r>
            <w:r w:rsidRPr="00340AA8">
              <w:rPr>
                <w:sz w:val="28"/>
                <w:szCs w:val="28"/>
                <w:lang w:val="nl-NL"/>
              </w:rPr>
              <w:t>.</w:t>
            </w:r>
          </w:p>
        </w:tc>
      </w:tr>
      <w:tr w:rsidR="00B5440C" w:rsidRPr="0083049C" w14:paraId="3F1144AE" w14:textId="77777777" w:rsidTr="00563C54">
        <w:tc>
          <w:tcPr>
            <w:tcW w:w="7281" w:type="dxa"/>
            <w:vAlign w:val="center"/>
          </w:tcPr>
          <w:p w14:paraId="1D385AB4" w14:textId="59560FE8" w:rsidR="00B5440C" w:rsidRPr="00AF14A0" w:rsidRDefault="00B5440C" w:rsidP="00B5440C">
            <w:pPr>
              <w:spacing w:before="60" w:after="60"/>
              <w:ind w:firstLine="720"/>
              <w:jc w:val="both"/>
              <w:rPr>
                <w:b/>
                <w:bCs/>
                <w:color w:val="000000"/>
                <w:lang w:val="nl-NL"/>
              </w:rPr>
            </w:pPr>
            <w:r w:rsidRPr="00AF14A0">
              <w:rPr>
                <w:b/>
                <w:bCs/>
                <w:color w:val="000000"/>
                <w:lang w:val="nl-NL"/>
              </w:rPr>
              <w:lastRenderedPageBreak/>
              <w:t xml:space="preserve">Điều </w:t>
            </w:r>
            <w:r w:rsidR="004E06F1" w:rsidRPr="00AF14A0">
              <w:rPr>
                <w:b/>
                <w:bCs/>
                <w:color w:val="000000"/>
                <w:lang w:val="nl-NL"/>
              </w:rPr>
              <w:t>4</w:t>
            </w:r>
            <w:r w:rsidRPr="00AF14A0">
              <w:rPr>
                <w:b/>
                <w:bCs/>
                <w:color w:val="000000"/>
                <w:lang w:val="nl-NL"/>
              </w:rPr>
              <w:t>. Xử lý nợ bị rủi ro</w:t>
            </w:r>
          </w:p>
          <w:p w14:paraId="01E6ED48" w14:textId="7562A41D" w:rsidR="00B5440C" w:rsidRPr="00AF14A0" w:rsidRDefault="004E06F1" w:rsidP="00B5440C">
            <w:pPr>
              <w:spacing w:before="60" w:after="60"/>
              <w:ind w:firstLine="720"/>
              <w:jc w:val="both"/>
              <w:rPr>
                <w:bCs/>
                <w:color w:val="000000"/>
                <w:lang w:val="nl-NL"/>
              </w:rPr>
            </w:pPr>
            <w:r w:rsidRPr="00AF14A0">
              <w:rPr>
                <w:bCs/>
                <w:color w:val="000000"/>
                <w:lang w:val="nl-NL"/>
              </w:rPr>
              <w:t>Đối với các khoản nợ bị rủi ro ngoài phạm vi đối tượng và nguyên nhân khách quan được xem xét xử lý rủi ro theo quy định của Thủ tướng Chính phủ về cơ chế xử lý nợ bị rủi ro tại Ngân hàng Chính sách xã hội: giao Ủy ban nhân dân tỉnh xem xét, quyết định</w:t>
            </w:r>
            <w:r w:rsidR="00B5440C" w:rsidRPr="00AF14A0">
              <w:rPr>
                <w:bCs/>
                <w:color w:val="000000"/>
                <w:lang w:val="nl-NL"/>
              </w:rPr>
              <w:t>.</w:t>
            </w:r>
          </w:p>
        </w:tc>
        <w:tc>
          <w:tcPr>
            <w:tcW w:w="7281" w:type="dxa"/>
            <w:vAlign w:val="center"/>
          </w:tcPr>
          <w:p w14:paraId="3088953A" w14:textId="77777777" w:rsidR="00B5440C" w:rsidRPr="00AF14A0" w:rsidRDefault="00B5440C" w:rsidP="00AF60C1">
            <w:pPr>
              <w:pStyle w:val="NormalWeb"/>
              <w:spacing w:before="0" w:beforeAutospacing="0" w:after="120" w:afterAutospacing="0"/>
              <w:jc w:val="both"/>
              <w:rPr>
                <w:color w:val="000000"/>
                <w:sz w:val="28"/>
                <w:szCs w:val="28"/>
                <w:lang w:val="nl-NL"/>
              </w:rPr>
            </w:pPr>
            <w:r w:rsidRPr="00AF14A0">
              <w:rPr>
                <w:color w:val="000000"/>
                <w:sz w:val="28"/>
                <w:szCs w:val="28"/>
                <w:lang w:val="nl-NL"/>
              </w:rPr>
              <w:t>Điểm a khoản 8 Điều 5 Thông tư số 11/2017/TT-BTC ngày 08/02/2017 được sửa đổi bổ sung tại khoản 5 Điều 1 Thông tư số 84/2025/TT-BTC ngày 19/8/2025 của Bộ Tài chính quy định: “Đối với các khoản nợ bị rủi ro ngoài phạm vi đối tượng và nguyên nhân khách quan được xem xét xử lý rủi ro theo quy định của Thủ tướng Chính phủ về cơ chế xử lý nợ bị rủi ro tại NHCSXH do Hội đồng nhân dân cấp tỉnh quy định”.</w:t>
            </w:r>
          </w:p>
          <w:p w14:paraId="1329A0FA" w14:textId="02D1A64B" w:rsidR="00B5440C" w:rsidRPr="00AF14A0" w:rsidRDefault="00B5440C" w:rsidP="00AF60C1">
            <w:pPr>
              <w:pStyle w:val="NormalWeb"/>
              <w:spacing w:before="0" w:beforeAutospacing="0" w:after="120" w:afterAutospacing="0"/>
              <w:jc w:val="both"/>
              <w:rPr>
                <w:color w:val="000000"/>
                <w:sz w:val="28"/>
                <w:szCs w:val="28"/>
                <w:lang w:val="nl-NL"/>
              </w:rPr>
            </w:pPr>
            <w:r w:rsidRPr="00AF14A0">
              <w:rPr>
                <w:color w:val="000000"/>
                <w:sz w:val="28"/>
                <w:szCs w:val="28"/>
                <w:lang w:val="nl-NL"/>
              </w:rPr>
              <w:t>Căn cứ khoản 1 Điều 13 của Luật Tổ chức chính quyền địa phương, đề xuất: Hội đồng nhân dân tỉnh phân cấp cho Ủy ban nhân dân tỉnh quy định việc xử lý nợ rủi ro để tạo sự linh hoạt, chủ động trong quản lý nguồn vốn ngân sách địa phương uỷ thác qua NHCSXH.</w:t>
            </w:r>
          </w:p>
        </w:tc>
      </w:tr>
      <w:tr w:rsidR="00AA1062" w:rsidRPr="0083049C" w14:paraId="3377238C" w14:textId="77777777" w:rsidTr="00563C54">
        <w:tc>
          <w:tcPr>
            <w:tcW w:w="7281" w:type="dxa"/>
            <w:vAlign w:val="center"/>
          </w:tcPr>
          <w:p w14:paraId="7691B4CD" w14:textId="331F20B1" w:rsidR="00AF60C1" w:rsidRPr="00AF60C1" w:rsidRDefault="00AF60C1" w:rsidP="00AF60C1">
            <w:pPr>
              <w:pStyle w:val="Vnbnnidung0"/>
              <w:spacing w:before="80" w:after="80" w:line="240" w:lineRule="auto"/>
              <w:ind w:firstLine="709"/>
              <w:jc w:val="both"/>
              <w:rPr>
                <w:rStyle w:val="Vnbnnidung"/>
                <w:rFonts w:eastAsiaTheme="majorEastAsia"/>
                <w:b/>
                <w:bCs/>
                <w:sz w:val="28"/>
                <w:szCs w:val="28"/>
                <w:lang w:val="vi-VN"/>
              </w:rPr>
            </w:pPr>
            <w:r w:rsidRPr="00AF60C1">
              <w:rPr>
                <w:rStyle w:val="Vnbnnidung"/>
                <w:rFonts w:eastAsiaTheme="majorEastAsia"/>
                <w:b/>
                <w:bCs/>
                <w:sz w:val="28"/>
                <w:szCs w:val="28"/>
                <w:lang w:val="vi-VN"/>
              </w:rPr>
              <w:lastRenderedPageBreak/>
              <w:t>Điề</w:t>
            </w:r>
            <w:r w:rsidR="004E06F1">
              <w:rPr>
                <w:rStyle w:val="Vnbnnidung"/>
                <w:rFonts w:eastAsiaTheme="majorEastAsia"/>
                <w:b/>
                <w:bCs/>
                <w:sz w:val="28"/>
                <w:szCs w:val="28"/>
                <w:lang w:val="vi-VN"/>
              </w:rPr>
              <w:t xml:space="preserve">u </w:t>
            </w:r>
            <w:r w:rsidR="004E06F1" w:rsidRPr="00AF14A0">
              <w:rPr>
                <w:rStyle w:val="Vnbnnidung"/>
                <w:rFonts w:eastAsiaTheme="majorEastAsia"/>
                <w:b/>
                <w:bCs/>
                <w:sz w:val="28"/>
                <w:szCs w:val="28"/>
                <w:lang w:val="nl-NL"/>
              </w:rPr>
              <w:t>5</w:t>
            </w:r>
            <w:r w:rsidRPr="00AF60C1">
              <w:rPr>
                <w:rStyle w:val="Vnbnnidung"/>
                <w:rFonts w:eastAsiaTheme="majorEastAsia"/>
                <w:b/>
                <w:bCs/>
                <w:sz w:val="28"/>
                <w:szCs w:val="28"/>
                <w:lang w:val="vi-VN"/>
              </w:rPr>
              <w:t>. Tổ chức thực hiện</w:t>
            </w:r>
          </w:p>
          <w:p w14:paraId="561114AB" w14:textId="77777777" w:rsidR="004E06F1" w:rsidRPr="004E06F1" w:rsidRDefault="004E06F1" w:rsidP="004E06F1">
            <w:pPr>
              <w:pStyle w:val="Vnbnnidung0"/>
              <w:spacing w:before="80" w:after="80" w:line="240" w:lineRule="auto"/>
              <w:ind w:firstLine="709"/>
              <w:jc w:val="both"/>
              <w:rPr>
                <w:rStyle w:val="Vnbnnidung"/>
                <w:rFonts w:eastAsiaTheme="majorEastAsia"/>
                <w:bCs/>
                <w:sz w:val="28"/>
                <w:szCs w:val="28"/>
                <w:lang w:val="vi-VN"/>
              </w:rPr>
            </w:pPr>
            <w:r w:rsidRPr="004E06F1">
              <w:rPr>
                <w:rStyle w:val="Vnbnnidung"/>
                <w:rFonts w:eastAsiaTheme="majorEastAsia"/>
                <w:bCs/>
                <w:sz w:val="28"/>
                <w:szCs w:val="28"/>
                <w:lang w:val="vi-VN"/>
              </w:rPr>
              <w:t xml:space="preserve">1. Giao Ủy ban nhân dân tỉnh bố trí nguồn lực thực hiện; hướng dẫn, tổ chức thực hiện Nghị quyết đảm bảo đúng đối tượng theo quy định của pháp luật. </w:t>
            </w:r>
          </w:p>
          <w:p w14:paraId="49F5278A" w14:textId="5F5C8B86" w:rsidR="004E06F1" w:rsidRPr="004E06F1" w:rsidRDefault="004E06F1" w:rsidP="004E06F1">
            <w:pPr>
              <w:pStyle w:val="Vnbnnidung0"/>
              <w:spacing w:before="80" w:after="80" w:line="240" w:lineRule="auto"/>
              <w:ind w:firstLine="709"/>
              <w:jc w:val="both"/>
              <w:rPr>
                <w:rStyle w:val="Vnbnnidung"/>
                <w:rFonts w:eastAsiaTheme="majorEastAsia"/>
                <w:bCs/>
                <w:sz w:val="28"/>
                <w:szCs w:val="28"/>
                <w:lang w:val="vi-VN"/>
              </w:rPr>
            </w:pPr>
            <w:r w:rsidRPr="004E06F1">
              <w:rPr>
                <w:rStyle w:val="Vnbnnidung"/>
                <w:rFonts w:eastAsiaTheme="majorEastAsia"/>
                <w:bCs/>
                <w:sz w:val="28"/>
                <w:szCs w:val="28"/>
                <w:lang w:val="vi-VN"/>
              </w:rPr>
              <w:t>2. Giao Thường trực Hội đồng nhân dân tỉnh, các Ban của Hội đồng nhân dân tỉnh, các Tổ đại biểu và đại biểu Hội đồng nhân dân tỉnh giám sát việc thực hiện Nghị quyết.</w:t>
            </w:r>
          </w:p>
          <w:p w14:paraId="58291D1D" w14:textId="1BB0499A" w:rsidR="00AA1062" w:rsidRPr="00AF14A0" w:rsidRDefault="004E06F1" w:rsidP="004E06F1">
            <w:pPr>
              <w:pStyle w:val="Vnbnnidung0"/>
              <w:spacing w:before="80" w:after="80" w:line="240" w:lineRule="auto"/>
              <w:ind w:firstLine="709"/>
              <w:jc w:val="both"/>
              <w:rPr>
                <w:rStyle w:val="Vnbnnidung"/>
                <w:rFonts w:eastAsiaTheme="majorEastAsia"/>
                <w:sz w:val="28"/>
                <w:szCs w:val="28"/>
                <w:lang w:val="vi-VN"/>
              </w:rPr>
            </w:pPr>
            <w:r w:rsidRPr="004E06F1">
              <w:rPr>
                <w:rStyle w:val="Vnbnnidung"/>
                <w:rFonts w:eastAsiaTheme="majorEastAsia"/>
                <w:bCs/>
                <w:sz w:val="28"/>
                <w:szCs w:val="28"/>
                <w:lang w:val="vi-VN"/>
              </w:rPr>
              <w:t>3. Đề nghị Ủy ban Mặt trận Tổ quốc Việt Nam tỉnh phối hợp tuyên truyền và tham gia giám sát việc tổ chức thực hiện Nghị quyết.</w:t>
            </w:r>
          </w:p>
        </w:tc>
        <w:tc>
          <w:tcPr>
            <w:tcW w:w="7281" w:type="dxa"/>
            <w:vAlign w:val="center"/>
          </w:tcPr>
          <w:p w14:paraId="3C4EBB60" w14:textId="0FE8B00E" w:rsidR="00AA1062" w:rsidRPr="00AF14A0" w:rsidRDefault="00AA1062" w:rsidP="00AA1062">
            <w:pPr>
              <w:pStyle w:val="NormalWeb"/>
              <w:spacing w:before="120" w:beforeAutospacing="0" w:after="120" w:afterAutospacing="0"/>
              <w:jc w:val="both"/>
              <w:rPr>
                <w:color w:val="000000"/>
                <w:sz w:val="28"/>
                <w:szCs w:val="28"/>
                <w:lang w:val="vi-VN"/>
              </w:rPr>
            </w:pPr>
          </w:p>
        </w:tc>
      </w:tr>
      <w:tr w:rsidR="00AF60C1" w:rsidRPr="0083049C" w14:paraId="6D571DD8" w14:textId="77777777" w:rsidTr="00563C54">
        <w:tc>
          <w:tcPr>
            <w:tcW w:w="7281" w:type="dxa"/>
            <w:vAlign w:val="center"/>
          </w:tcPr>
          <w:p w14:paraId="77F13569" w14:textId="314D3911" w:rsidR="00AF60C1" w:rsidRPr="002320E9" w:rsidRDefault="00AF60C1" w:rsidP="00AF60C1">
            <w:pPr>
              <w:spacing w:before="60" w:after="60"/>
              <w:ind w:firstLine="720"/>
              <w:jc w:val="both"/>
              <w:rPr>
                <w:lang w:val="de-DE"/>
              </w:rPr>
            </w:pPr>
            <w:r w:rsidRPr="002320E9">
              <w:rPr>
                <w:b/>
                <w:bCs/>
                <w:lang w:val="de-DE"/>
              </w:rPr>
              <w:t xml:space="preserve">Điều </w:t>
            </w:r>
            <w:r w:rsidR="004E06F1">
              <w:rPr>
                <w:b/>
                <w:bCs/>
                <w:lang w:val="de-DE"/>
              </w:rPr>
              <w:t>6</w:t>
            </w:r>
            <w:r w:rsidRPr="002320E9">
              <w:rPr>
                <w:b/>
                <w:bCs/>
                <w:lang w:val="de-DE"/>
              </w:rPr>
              <w:t>. Điều khoản thi hành</w:t>
            </w:r>
          </w:p>
          <w:p w14:paraId="670FF9BA" w14:textId="77777777" w:rsidR="004E06F1" w:rsidRPr="004E06F1" w:rsidRDefault="004E06F1" w:rsidP="004E06F1">
            <w:pPr>
              <w:spacing w:before="60" w:after="60"/>
              <w:ind w:firstLine="720"/>
              <w:jc w:val="both"/>
              <w:rPr>
                <w:lang w:val="de-DE"/>
              </w:rPr>
            </w:pPr>
            <w:r w:rsidRPr="004E06F1">
              <w:rPr>
                <w:lang w:val="de-DE"/>
              </w:rPr>
              <w:t>1. Nghị quyết này có hiệu lực thi hành từ ngày...tháng ... năm 2026.</w:t>
            </w:r>
          </w:p>
          <w:p w14:paraId="03F05157" w14:textId="6AEC336D" w:rsidR="00AF60C1" w:rsidRPr="002320E9" w:rsidRDefault="004E06F1" w:rsidP="004E06F1">
            <w:pPr>
              <w:spacing w:before="60" w:after="60"/>
              <w:ind w:firstLine="720"/>
              <w:jc w:val="both"/>
              <w:rPr>
                <w:lang w:val="de-DE"/>
              </w:rPr>
            </w:pPr>
            <w:r w:rsidRPr="004E06F1">
              <w:rPr>
                <w:lang w:val="de-DE"/>
              </w:rPr>
              <w:t>2. Trong quá trình tổ chức thực hiện Nghị quyết, trường hợp các văn bản quy phạm pháp luật được viện dẫn tại Nghị quyết này được sửa đổi, bổ sung hoặc thay thế thì thực hiện theo các văn bản sửa đổi, bổ sung hoặc thay thế đó</w:t>
            </w:r>
            <w:r w:rsidR="00AF60C1" w:rsidRPr="002320E9">
              <w:rPr>
                <w:lang w:val="de-DE"/>
              </w:rPr>
              <w:t>.</w:t>
            </w:r>
          </w:p>
          <w:p w14:paraId="705F10D2" w14:textId="77777777" w:rsidR="00AF60C1" w:rsidRPr="00E45DD8" w:rsidRDefault="00AF60C1" w:rsidP="00E45DD8">
            <w:pPr>
              <w:pStyle w:val="Vnbnnidung0"/>
              <w:spacing w:before="80" w:after="80" w:line="240" w:lineRule="auto"/>
              <w:ind w:firstLine="709"/>
              <w:jc w:val="both"/>
              <w:rPr>
                <w:rStyle w:val="Vnbnnidung"/>
                <w:rFonts w:eastAsiaTheme="majorEastAsia"/>
                <w:b/>
                <w:bCs/>
                <w:sz w:val="28"/>
                <w:szCs w:val="28"/>
                <w:lang w:val="vi-VN"/>
              </w:rPr>
            </w:pPr>
          </w:p>
        </w:tc>
        <w:tc>
          <w:tcPr>
            <w:tcW w:w="7281" w:type="dxa"/>
            <w:vAlign w:val="center"/>
          </w:tcPr>
          <w:p w14:paraId="0A154725" w14:textId="77777777" w:rsidR="00AF60C1" w:rsidRPr="00AF14A0" w:rsidRDefault="00AF60C1" w:rsidP="00AA1062">
            <w:pPr>
              <w:pStyle w:val="NormalWeb"/>
              <w:spacing w:before="120" w:beforeAutospacing="0" w:after="120" w:afterAutospacing="0"/>
              <w:jc w:val="both"/>
              <w:rPr>
                <w:color w:val="000000"/>
                <w:sz w:val="28"/>
                <w:szCs w:val="28"/>
                <w:lang w:val="de-DE"/>
              </w:rPr>
            </w:pPr>
          </w:p>
        </w:tc>
      </w:tr>
    </w:tbl>
    <w:p w14:paraId="7C9B8B3F" w14:textId="77777777" w:rsidR="002909FD" w:rsidRPr="00AF14A0" w:rsidRDefault="002909FD" w:rsidP="008E0EEE">
      <w:pPr>
        <w:rPr>
          <w:b/>
          <w:bCs/>
          <w:lang w:val="de-DE"/>
        </w:rPr>
      </w:pPr>
    </w:p>
    <w:sectPr w:rsidR="002909FD" w:rsidRPr="00AF14A0" w:rsidSect="002909FD">
      <w:pgSz w:w="16840" w:h="11907" w:orient="landscape" w:code="9"/>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A344D"/>
    <w:multiLevelType w:val="hybridMultilevel"/>
    <w:tmpl w:val="D618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FD"/>
    <w:rsid w:val="000A30AE"/>
    <w:rsid w:val="000F3BC0"/>
    <w:rsid w:val="00247960"/>
    <w:rsid w:val="002776C9"/>
    <w:rsid w:val="002909FD"/>
    <w:rsid w:val="002C62AC"/>
    <w:rsid w:val="00340AA8"/>
    <w:rsid w:val="00370421"/>
    <w:rsid w:val="00420EA3"/>
    <w:rsid w:val="00433905"/>
    <w:rsid w:val="00450477"/>
    <w:rsid w:val="00453849"/>
    <w:rsid w:val="00455FB6"/>
    <w:rsid w:val="004A5397"/>
    <w:rsid w:val="004C3DB1"/>
    <w:rsid w:val="004E06F1"/>
    <w:rsid w:val="00503594"/>
    <w:rsid w:val="00563C54"/>
    <w:rsid w:val="00563E94"/>
    <w:rsid w:val="005B368E"/>
    <w:rsid w:val="005F4AAB"/>
    <w:rsid w:val="006031CC"/>
    <w:rsid w:val="006233C0"/>
    <w:rsid w:val="006D38FE"/>
    <w:rsid w:val="007069DC"/>
    <w:rsid w:val="007222E3"/>
    <w:rsid w:val="00764B70"/>
    <w:rsid w:val="00824F2A"/>
    <w:rsid w:val="0083049C"/>
    <w:rsid w:val="00846CE0"/>
    <w:rsid w:val="00876A1E"/>
    <w:rsid w:val="00893E2F"/>
    <w:rsid w:val="008E0EEE"/>
    <w:rsid w:val="00921BBB"/>
    <w:rsid w:val="009D1CB8"/>
    <w:rsid w:val="00A852C1"/>
    <w:rsid w:val="00AA1062"/>
    <w:rsid w:val="00AF14A0"/>
    <w:rsid w:val="00AF60C1"/>
    <w:rsid w:val="00B5440C"/>
    <w:rsid w:val="00B9331F"/>
    <w:rsid w:val="00BC5098"/>
    <w:rsid w:val="00C83472"/>
    <w:rsid w:val="00CB50ED"/>
    <w:rsid w:val="00CB5AE7"/>
    <w:rsid w:val="00DA53F5"/>
    <w:rsid w:val="00E45DD8"/>
    <w:rsid w:val="00E55A86"/>
    <w:rsid w:val="00E64DEF"/>
    <w:rsid w:val="00EB2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8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9FD"/>
    <w:rPr>
      <w:kern w:val="0"/>
      <w14:ligatures w14:val="none"/>
    </w:rPr>
  </w:style>
  <w:style w:type="paragraph" w:styleId="Heading1">
    <w:name w:val="heading 1"/>
    <w:basedOn w:val="Normal"/>
    <w:next w:val="Normal"/>
    <w:link w:val="Heading1Char"/>
    <w:uiPriority w:val="9"/>
    <w:qFormat/>
    <w:rsid w:val="002909F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909F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909FD"/>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2909F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909F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909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09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09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09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9F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909F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909FD"/>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2909F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2909F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2909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09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09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09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0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9F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909F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909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09FD"/>
    <w:rPr>
      <w:i/>
      <w:iCs/>
      <w:color w:val="404040" w:themeColor="text1" w:themeTint="BF"/>
    </w:rPr>
  </w:style>
  <w:style w:type="paragraph" w:styleId="ListParagraph">
    <w:name w:val="List Paragraph"/>
    <w:basedOn w:val="Normal"/>
    <w:uiPriority w:val="34"/>
    <w:qFormat/>
    <w:rsid w:val="002909FD"/>
    <w:pPr>
      <w:ind w:left="720"/>
      <w:contextualSpacing/>
    </w:pPr>
  </w:style>
  <w:style w:type="character" w:styleId="IntenseEmphasis">
    <w:name w:val="Intense Emphasis"/>
    <w:basedOn w:val="DefaultParagraphFont"/>
    <w:uiPriority w:val="21"/>
    <w:qFormat/>
    <w:rsid w:val="002909FD"/>
    <w:rPr>
      <w:i/>
      <w:iCs/>
      <w:color w:val="365F91" w:themeColor="accent1" w:themeShade="BF"/>
    </w:rPr>
  </w:style>
  <w:style w:type="paragraph" w:styleId="IntenseQuote">
    <w:name w:val="Intense Quote"/>
    <w:basedOn w:val="Normal"/>
    <w:next w:val="Normal"/>
    <w:link w:val="IntenseQuoteChar"/>
    <w:uiPriority w:val="30"/>
    <w:qFormat/>
    <w:rsid w:val="002909F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909FD"/>
    <w:rPr>
      <w:i/>
      <w:iCs/>
      <w:color w:val="365F91" w:themeColor="accent1" w:themeShade="BF"/>
    </w:rPr>
  </w:style>
  <w:style w:type="character" w:styleId="IntenseReference">
    <w:name w:val="Intense Reference"/>
    <w:basedOn w:val="DefaultParagraphFont"/>
    <w:uiPriority w:val="32"/>
    <w:qFormat/>
    <w:rsid w:val="002909FD"/>
    <w:rPr>
      <w:b/>
      <w:bCs/>
      <w:smallCaps/>
      <w:color w:val="365F91" w:themeColor="accent1" w:themeShade="BF"/>
      <w:spacing w:val="5"/>
    </w:rPr>
  </w:style>
  <w:style w:type="table" w:styleId="TableGrid">
    <w:name w:val="Table Grid"/>
    <w:basedOn w:val="TableNormal"/>
    <w:uiPriority w:val="59"/>
    <w:rsid w:val="00CB5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5AE7"/>
    <w:pPr>
      <w:spacing w:before="100" w:beforeAutospacing="1" w:after="100" w:afterAutospacing="1" w:line="240" w:lineRule="auto"/>
    </w:pPr>
    <w:rPr>
      <w:rFonts w:eastAsia="Times New Roman" w:cs="Times New Roman"/>
      <w:sz w:val="24"/>
      <w:szCs w:val="24"/>
    </w:rPr>
  </w:style>
  <w:style w:type="character" w:customStyle="1" w:styleId="Vnbnnidung">
    <w:name w:val="Văn bản nội dung_"/>
    <w:basedOn w:val="DefaultParagraphFont"/>
    <w:link w:val="Vnbnnidung0"/>
    <w:rsid w:val="00CB5AE7"/>
    <w:rPr>
      <w:rFonts w:eastAsia="Times New Roman" w:cs="Times New Roman"/>
      <w:sz w:val="26"/>
      <w:szCs w:val="26"/>
    </w:rPr>
  </w:style>
  <w:style w:type="paragraph" w:customStyle="1" w:styleId="Vnbnnidung0">
    <w:name w:val="Văn bản nội dung"/>
    <w:basedOn w:val="Normal"/>
    <w:link w:val="Vnbnnidung"/>
    <w:rsid w:val="00CB5AE7"/>
    <w:pPr>
      <w:widowControl w:val="0"/>
      <w:spacing w:after="100" w:line="257" w:lineRule="auto"/>
      <w:ind w:firstLine="400"/>
    </w:pPr>
    <w:rPr>
      <w:rFonts w:eastAsia="Times New Roman" w:cs="Times New Roman"/>
      <w:kern w:val="2"/>
      <w:sz w:val="26"/>
      <w:szCs w:val="26"/>
      <w14:ligatures w14:val="standardContextual"/>
    </w:rPr>
  </w:style>
  <w:style w:type="character" w:customStyle="1" w:styleId="Chthchnh">
    <w:name w:val="Chú thích ảnh_"/>
    <w:basedOn w:val="DefaultParagraphFont"/>
    <w:link w:val="Chthchnh0"/>
    <w:rsid w:val="00CB5AE7"/>
    <w:rPr>
      <w:rFonts w:eastAsia="Times New Roman" w:cs="Times New Roman"/>
      <w:b/>
      <w:bCs/>
      <w:sz w:val="26"/>
      <w:szCs w:val="26"/>
    </w:rPr>
  </w:style>
  <w:style w:type="paragraph" w:customStyle="1" w:styleId="Chthchnh0">
    <w:name w:val="Chú thích ảnh"/>
    <w:basedOn w:val="Normal"/>
    <w:link w:val="Chthchnh"/>
    <w:rsid w:val="00CB5AE7"/>
    <w:pPr>
      <w:widowControl w:val="0"/>
      <w:spacing w:after="0" w:line="240" w:lineRule="auto"/>
    </w:pPr>
    <w:rPr>
      <w:rFonts w:eastAsia="Times New Roman" w:cs="Times New Roman"/>
      <w:b/>
      <w:bCs/>
      <w:kern w:val="2"/>
      <w:sz w:val="26"/>
      <w:szCs w:val="2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9FD"/>
    <w:rPr>
      <w:kern w:val="0"/>
      <w14:ligatures w14:val="none"/>
    </w:rPr>
  </w:style>
  <w:style w:type="paragraph" w:styleId="Heading1">
    <w:name w:val="heading 1"/>
    <w:basedOn w:val="Normal"/>
    <w:next w:val="Normal"/>
    <w:link w:val="Heading1Char"/>
    <w:uiPriority w:val="9"/>
    <w:qFormat/>
    <w:rsid w:val="002909F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909F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909FD"/>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2909F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909F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2909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09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09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09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9F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909F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909FD"/>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2909F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2909F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2909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09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09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09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0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9F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909F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909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09FD"/>
    <w:rPr>
      <w:i/>
      <w:iCs/>
      <w:color w:val="404040" w:themeColor="text1" w:themeTint="BF"/>
    </w:rPr>
  </w:style>
  <w:style w:type="paragraph" w:styleId="ListParagraph">
    <w:name w:val="List Paragraph"/>
    <w:basedOn w:val="Normal"/>
    <w:uiPriority w:val="34"/>
    <w:qFormat/>
    <w:rsid w:val="002909FD"/>
    <w:pPr>
      <w:ind w:left="720"/>
      <w:contextualSpacing/>
    </w:pPr>
  </w:style>
  <w:style w:type="character" w:styleId="IntenseEmphasis">
    <w:name w:val="Intense Emphasis"/>
    <w:basedOn w:val="DefaultParagraphFont"/>
    <w:uiPriority w:val="21"/>
    <w:qFormat/>
    <w:rsid w:val="002909FD"/>
    <w:rPr>
      <w:i/>
      <w:iCs/>
      <w:color w:val="365F91" w:themeColor="accent1" w:themeShade="BF"/>
    </w:rPr>
  </w:style>
  <w:style w:type="paragraph" w:styleId="IntenseQuote">
    <w:name w:val="Intense Quote"/>
    <w:basedOn w:val="Normal"/>
    <w:next w:val="Normal"/>
    <w:link w:val="IntenseQuoteChar"/>
    <w:uiPriority w:val="30"/>
    <w:qFormat/>
    <w:rsid w:val="002909F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909FD"/>
    <w:rPr>
      <w:i/>
      <w:iCs/>
      <w:color w:val="365F91" w:themeColor="accent1" w:themeShade="BF"/>
    </w:rPr>
  </w:style>
  <w:style w:type="character" w:styleId="IntenseReference">
    <w:name w:val="Intense Reference"/>
    <w:basedOn w:val="DefaultParagraphFont"/>
    <w:uiPriority w:val="32"/>
    <w:qFormat/>
    <w:rsid w:val="002909FD"/>
    <w:rPr>
      <w:b/>
      <w:bCs/>
      <w:smallCaps/>
      <w:color w:val="365F91" w:themeColor="accent1" w:themeShade="BF"/>
      <w:spacing w:val="5"/>
    </w:rPr>
  </w:style>
  <w:style w:type="table" w:styleId="TableGrid">
    <w:name w:val="Table Grid"/>
    <w:basedOn w:val="TableNormal"/>
    <w:uiPriority w:val="59"/>
    <w:rsid w:val="00CB5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5AE7"/>
    <w:pPr>
      <w:spacing w:before="100" w:beforeAutospacing="1" w:after="100" w:afterAutospacing="1" w:line="240" w:lineRule="auto"/>
    </w:pPr>
    <w:rPr>
      <w:rFonts w:eastAsia="Times New Roman" w:cs="Times New Roman"/>
      <w:sz w:val="24"/>
      <w:szCs w:val="24"/>
    </w:rPr>
  </w:style>
  <w:style w:type="character" w:customStyle="1" w:styleId="Vnbnnidung">
    <w:name w:val="Văn bản nội dung_"/>
    <w:basedOn w:val="DefaultParagraphFont"/>
    <w:link w:val="Vnbnnidung0"/>
    <w:rsid w:val="00CB5AE7"/>
    <w:rPr>
      <w:rFonts w:eastAsia="Times New Roman" w:cs="Times New Roman"/>
      <w:sz w:val="26"/>
      <w:szCs w:val="26"/>
    </w:rPr>
  </w:style>
  <w:style w:type="paragraph" w:customStyle="1" w:styleId="Vnbnnidung0">
    <w:name w:val="Văn bản nội dung"/>
    <w:basedOn w:val="Normal"/>
    <w:link w:val="Vnbnnidung"/>
    <w:rsid w:val="00CB5AE7"/>
    <w:pPr>
      <w:widowControl w:val="0"/>
      <w:spacing w:after="100" w:line="257" w:lineRule="auto"/>
      <w:ind w:firstLine="400"/>
    </w:pPr>
    <w:rPr>
      <w:rFonts w:eastAsia="Times New Roman" w:cs="Times New Roman"/>
      <w:kern w:val="2"/>
      <w:sz w:val="26"/>
      <w:szCs w:val="26"/>
      <w14:ligatures w14:val="standardContextual"/>
    </w:rPr>
  </w:style>
  <w:style w:type="character" w:customStyle="1" w:styleId="Chthchnh">
    <w:name w:val="Chú thích ảnh_"/>
    <w:basedOn w:val="DefaultParagraphFont"/>
    <w:link w:val="Chthchnh0"/>
    <w:rsid w:val="00CB5AE7"/>
    <w:rPr>
      <w:rFonts w:eastAsia="Times New Roman" w:cs="Times New Roman"/>
      <w:b/>
      <w:bCs/>
      <w:sz w:val="26"/>
      <w:szCs w:val="26"/>
    </w:rPr>
  </w:style>
  <w:style w:type="paragraph" w:customStyle="1" w:styleId="Chthchnh0">
    <w:name w:val="Chú thích ảnh"/>
    <w:basedOn w:val="Normal"/>
    <w:link w:val="Chthchnh"/>
    <w:rsid w:val="00CB5AE7"/>
    <w:pPr>
      <w:widowControl w:val="0"/>
      <w:spacing w:after="0" w:line="240" w:lineRule="auto"/>
    </w:pPr>
    <w:rPr>
      <w:rFonts w:eastAsia="Times New Roman" w:cs="Times New Roman"/>
      <w:b/>
      <w:bCs/>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Administrator</cp:lastModifiedBy>
  <cp:revision>37</cp:revision>
  <dcterms:created xsi:type="dcterms:W3CDTF">2025-12-28T09:53:00Z</dcterms:created>
  <dcterms:modified xsi:type="dcterms:W3CDTF">2026-02-24T01:06:00Z</dcterms:modified>
</cp:coreProperties>
</file>